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IDC物流搬迁</w:t>
      </w:r>
      <w:r>
        <w:rPr>
          <w:rFonts w:hint="eastAsia"/>
          <w:b/>
          <w:bCs/>
          <w:sz w:val="28"/>
          <w:szCs w:val="28"/>
          <w:lang w:val="en-US" w:eastAsia="zh-CN"/>
        </w:rPr>
        <w:t>要求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10"/>
        <w:numPr>
          <w:ilvl w:val="0"/>
          <w:numId w:val="1"/>
        </w:numPr>
        <w:ind w:firstLineChars="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派单方式</w:t>
      </w:r>
    </w:p>
    <w:p>
      <w:pPr>
        <w:pStyle w:val="10"/>
        <w:numPr>
          <w:ilvl w:val="0"/>
          <w:numId w:val="0"/>
        </w:numPr>
        <w:ind w:leftChars="0"/>
        <w:rPr>
          <w:rFonts w:hint="default" w:eastAsia="宋体"/>
          <w:b/>
          <w:bCs/>
          <w:highlight w:val="none"/>
          <w:lang w:val="en-US" w:eastAsia="zh-CN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1、以邮件形式发送搬迁任务（金山云系统邮箱），物流服务商需提供专属邮箱接收；</w:t>
      </w:r>
    </w:p>
    <w:p>
      <w:pPr>
        <w:pStyle w:val="10"/>
        <w:numPr>
          <w:ilvl w:val="0"/>
          <w:numId w:val="0"/>
        </w:numPr>
        <w:ind w:leftChars="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二、</w:t>
      </w:r>
      <w:r>
        <w:rPr>
          <w:rFonts w:hint="eastAsia"/>
          <w:b/>
          <w:bCs/>
          <w:highlight w:val="none"/>
        </w:rPr>
        <w:t>准确性</w:t>
      </w:r>
    </w:p>
    <w:p>
      <w:pPr>
        <w:pStyle w:val="10"/>
        <w:numPr>
          <w:ilvl w:val="0"/>
          <w:numId w:val="2"/>
        </w:numPr>
        <w:ind w:left="425" w:leftChars="0" w:hanging="425" w:firstLineChars="0"/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货物准确：搬迁设备、配件均与工单中信息一致，信息准确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；</w:t>
      </w:r>
    </w:p>
    <w:p>
      <w:pPr>
        <w:pStyle w:val="10"/>
        <w:numPr>
          <w:ilvl w:val="0"/>
          <w:numId w:val="2"/>
        </w:numPr>
        <w:ind w:left="425" w:leftChars="0" w:hanging="425" w:firstLineChars="0"/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时间准确：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特殊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搬迁（主要涉及客户机房搬迁）需在准确时间（具体到某一时间点）支持取货、送货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；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灵活性</w:t>
      </w:r>
    </w:p>
    <w:p>
      <w:pPr>
        <w:pStyle w:val="10"/>
        <w:numPr>
          <w:ilvl w:val="0"/>
          <w:numId w:val="3"/>
        </w:numPr>
        <w:ind w:left="425" w:leftChars="0" w:hanging="425" w:firstLineChars="0"/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货物灵活：在取货前能满足增、减货物的需求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（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包含当日调整）；</w:t>
      </w:r>
    </w:p>
    <w:p>
      <w:pPr>
        <w:pStyle w:val="10"/>
        <w:numPr>
          <w:ilvl w:val="0"/>
          <w:numId w:val="0"/>
        </w:numPr>
        <w:ind w:leftChars="0" w:firstLine="420" w:firstLineChars="200"/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如：取货前/取货中，临时取消工单或追加提货需求。</w:t>
      </w:r>
    </w:p>
    <w:p>
      <w:pPr>
        <w:pStyle w:val="10"/>
        <w:numPr>
          <w:ilvl w:val="0"/>
          <w:numId w:val="3"/>
        </w:numPr>
        <w:ind w:left="425" w:leftChars="0" w:hanging="425" w:firstLineChars="0"/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时间灵活：在取货或派送前能满足变更取货或派送时间需求；对于5*8机房、客户特殊需求机房能等在物流当地仓暂存，待工作日或客户要求时间派送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；</w:t>
      </w:r>
    </w:p>
    <w:p>
      <w:pPr>
        <w:pStyle w:val="10"/>
        <w:numPr>
          <w:ilvl w:val="0"/>
          <w:numId w:val="0"/>
        </w:numPr>
        <w:ind w:leftChars="0" w:firstLine="420" w:firstLineChars="200"/>
        <w:rPr>
          <w:rFonts w:hint="default" w:ascii="Segoe UI" w:hAnsi="Segoe UI" w:eastAsia="宋体" w:cs="Segoe UI"/>
          <w:color w:val="333333"/>
          <w:kern w:val="0"/>
          <w:szCs w:val="21"/>
          <w:highlight w:val="none"/>
          <w:lang w:val="en-US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如：天气原因或机房不具备收货条件下，择日取货/送货。</w:t>
      </w:r>
    </w:p>
    <w:p>
      <w:pPr>
        <w:pStyle w:val="10"/>
        <w:numPr>
          <w:ilvl w:val="0"/>
          <w:numId w:val="3"/>
        </w:numPr>
        <w:ind w:left="425" w:leftChars="0" w:hanging="425" w:firstLineChars="0"/>
        <w:rPr>
          <w:highlight w:val="none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人员灵活：对于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指定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需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要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上下架服务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的搬迁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，能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够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灵活提供人员支持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（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上下架服务是指物理位置上下架，不含断（开）电、插（拔）线等操作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）</w:t>
      </w:r>
      <w:r>
        <w:rPr>
          <w:rFonts w:hint="eastAsia" w:eastAsia="宋体"/>
          <w:highlight w:val="none"/>
          <w:lang w:eastAsia="zh-CN"/>
        </w:rPr>
        <w:t>；</w:t>
      </w:r>
    </w:p>
    <w:p>
      <w:pPr>
        <w:pStyle w:val="10"/>
        <w:numPr>
          <w:ilvl w:val="0"/>
          <w:numId w:val="0"/>
        </w:numPr>
        <w:ind w:leftChars="0" w:firstLine="420" w:firstLineChars="200"/>
        <w:rPr>
          <w:rFonts w:hint="default"/>
          <w:highlight w:val="none"/>
          <w:lang w:val="en-US"/>
        </w:rPr>
      </w:pPr>
      <w:r>
        <w:rPr>
          <w:rFonts w:hint="eastAsia" w:eastAsia="宋体"/>
          <w:highlight w:val="none"/>
          <w:lang w:val="en-US" w:eastAsia="zh-CN"/>
        </w:rPr>
        <w:t>如：取货/送货当天机房临时需要上下架操作，能够及时调转人员支持。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安全性</w:t>
      </w:r>
    </w:p>
    <w:p>
      <w:pPr>
        <w:pStyle w:val="10"/>
        <w:numPr>
          <w:ilvl w:val="0"/>
          <w:numId w:val="4"/>
        </w:numPr>
        <w:ind w:left="425" w:leftChars="0" w:hanging="425" w:firstLineChars="0"/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货物安全：标准包装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（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含设备及配件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）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物流人员标准操作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；注意设备安全性，操作时具备保护措施；</w:t>
      </w:r>
      <w:bookmarkStart w:id="0" w:name="_GoBack"/>
      <w:bookmarkEnd w:id="0"/>
    </w:p>
    <w:p>
      <w:pPr>
        <w:pStyle w:val="10"/>
        <w:numPr>
          <w:ilvl w:val="0"/>
          <w:numId w:val="0"/>
        </w:numPr>
        <w:ind w:left="420" w:leftChars="200" w:firstLine="0" w:firstLineChars="0"/>
        <w:rPr>
          <w:rFonts w:hint="default" w:ascii="Segoe UI" w:hAnsi="Segoe UI" w:eastAsia="宋体" w:cs="Segoe UI"/>
          <w:color w:val="333333"/>
          <w:kern w:val="0"/>
          <w:szCs w:val="21"/>
          <w:highlight w:val="none"/>
          <w:lang w:val="en-US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如：内存使用标准内存盒，硬盘使用专用泡沫包装袋，服务器外包装箱合规、内含珍珠棉固定</w:t>
      </w:r>
    </w:p>
    <w:p>
      <w:pPr>
        <w:pStyle w:val="10"/>
        <w:numPr>
          <w:ilvl w:val="0"/>
          <w:numId w:val="4"/>
        </w:numPr>
        <w:ind w:left="425" w:leftChars="0" w:hanging="425" w:firstLineChars="0"/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保险：能够按要求为货物投保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；</w:t>
      </w:r>
    </w:p>
    <w:p>
      <w:pPr>
        <w:pStyle w:val="10"/>
        <w:numPr>
          <w:ilvl w:val="0"/>
          <w:numId w:val="4"/>
        </w:numPr>
        <w:ind w:left="425" w:leftChars="0" w:hanging="425" w:firstLineChars="0"/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硬损赔付：若出现硬损，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物流商需要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通过设备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原厂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维修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并需要厂商出具检测报告或按供应链要求进行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赔付；</w:t>
      </w:r>
    </w:p>
    <w:p>
      <w:pPr>
        <w:pStyle w:val="10"/>
        <w:numPr>
          <w:ilvl w:val="0"/>
          <w:numId w:val="4"/>
        </w:numPr>
        <w:ind w:left="425" w:leftChars="0" w:hanging="425" w:firstLineChars="0"/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签收单：自签收日起，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纸质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签收单存档3个月以上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；</w:t>
      </w:r>
    </w:p>
    <w:p>
      <w:pPr>
        <w:pStyle w:val="10"/>
        <w:numPr>
          <w:ilvl w:val="0"/>
          <w:numId w:val="1"/>
        </w:numPr>
        <w:ind w:left="432" w:leftChars="0" w:hanging="432" w:firstLineChars="0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时效性</w:t>
      </w:r>
    </w:p>
    <w:p>
      <w:pPr>
        <w:pStyle w:val="10"/>
        <w:numPr>
          <w:ilvl w:val="0"/>
          <w:numId w:val="5"/>
        </w:numPr>
        <w:ind w:left="425" w:leftChars="0" w:hanging="425" w:firstLineChars="0"/>
        <w:rPr>
          <w:rFonts w:hint="eastAsia" w:ascii="Segoe UI" w:hAnsi="Segoe UI" w:eastAsia="宋体" w:cs="Segoe UI"/>
          <w:color w:val="333333"/>
          <w:kern w:val="0"/>
          <w:szCs w:val="21"/>
          <w:lang w:eastAsia="zh-CN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响应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时效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：能够准确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、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及时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</w:rPr>
        <w:t>响应搬迁中遇到问题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eastAsia="zh-CN"/>
        </w:rPr>
        <w:t>，</w:t>
      </w:r>
      <w:r>
        <w:rPr>
          <w:rFonts w:hint="eastAsia" w:ascii="Segoe UI" w:hAnsi="Segoe UI" w:eastAsia="宋体" w:cs="Segoe UI"/>
          <w:color w:val="333333"/>
          <w:kern w:val="0"/>
          <w:szCs w:val="21"/>
          <w:highlight w:val="none"/>
          <w:lang w:val="en-US" w:eastAsia="zh-CN"/>
        </w:rPr>
        <w:t>配备专属客服、项目经理跟进并反馈</w:t>
      </w:r>
      <w:r>
        <w:rPr>
          <w:rFonts w:hint="eastAsia" w:ascii="Segoe UI" w:hAnsi="Segoe UI" w:eastAsia="宋体" w:cs="Segoe UI"/>
          <w:color w:val="333333"/>
          <w:kern w:val="0"/>
          <w:szCs w:val="21"/>
        </w:rPr>
        <w:t>（</w:t>
      </w:r>
      <w:r>
        <w:rPr>
          <w:rFonts w:hint="eastAsia" w:ascii="Segoe UI" w:hAnsi="Segoe UI" w:eastAsia="宋体" w:cs="Segoe UI"/>
          <w:color w:val="333333"/>
          <w:kern w:val="0"/>
          <w:szCs w:val="21"/>
          <w:lang w:val="en-US" w:eastAsia="zh-CN"/>
        </w:rPr>
        <w:t>工作时间响应时间不得超过10分钟，非工作时间的紧急需求也可支持</w:t>
      </w:r>
      <w:r>
        <w:rPr>
          <w:rFonts w:hint="eastAsia" w:ascii="Segoe UI" w:hAnsi="Segoe UI" w:eastAsia="宋体" w:cs="Segoe UI"/>
          <w:color w:val="333333"/>
          <w:kern w:val="0"/>
          <w:szCs w:val="21"/>
        </w:rPr>
        <w:t>），包括但不限于物流时效、物流进展、人员信息等</w:t>
      </w:r>
      <w:r>
        <w:rPr>
          <w:rFonts w:hint="eastAsia" w:ascii="Segoe UI" w:hAnsi="Segoe UI" w:eastAsia="宋体" w:cs="Segoe UI"/>
          <w:color w:val="333333"/>
          <w:kern w:val="0"/>
          <w:szCs w:val="21"/>
          <w:lang w:eastAsia="zh-CN"/>
        </w:rPr>
        <w:t>；</w:t>
      </w:r>
    </w:p>
    <w:p>
      <w:pPr>
        <w:pStyle w:val="10"/>
        <w:numPr>
          <w:ilvl w:val="0"/>
          <w:numId w:val="5"/>
        </w:numPr>
        <w:ind w:left="425" w:leftChars="0" w:hanging="425" w:firstLineChars="0"/>
        <w:rPr>
          <w:rFonts w:hint="eastAsia" w:ascii="Segoe UI" w:hAnsi="Segoe UI" w:eastAsia="宋体" w:cs="Segoe UI"/>
          <w:color w:val="auto"/>
          <w:kern w:val="0"/>
          <w:szCs w:val="21"/>
          <w:lang w:val="en-US" w:eastAsia="zh-CN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lang w:val="en-US" w:eastAsia="zh-CN"/>
        </w:rPr>
        <w:t>物流时效：派单当天，除特殊要求外需当天进行取货，</w:t>
      </w:r>
      <w:r>
        <w:rPr>
          <w:rFonts w:hint="eastAsia" w:ascii="Segoe UI" w:hAnsi="Segoe UI" w:eastAsia="宋体" w:cs="Segoe UI"/>
          <w:color w:val="auto"/>
          <w:kern w:val="0"/>
          <w:szCs w:val="21"/>
          <w:lang w:val="en-US" w:eastAsia="zh-CN"/>
        </w:rPr>
        <w:t>至少要满足如下需求（往返时效要求相同，同城默认专车，异地默认零担）</w:t>
      </w:r>
    </w:p>
    <w:p>
      <w:pPr>
        <w:pStyle w:val="10"/>
        <w:numPr>
          <w:ilvl w:val="0"/>
          <w:numId w:val="0"/>
        </w:numPr>
        <w:ind w:leftChars="0"/>
        <w:rPr>
          <w:rFonts w:hint="default" w:ascii="Segoe UI" w:hAnsi="Segoe UI" w:eastAsia="宋体" w:cs="Segoe UI"/>
          <w:color w:val="auto"/>
          <w:kern w:val="0"/>
          <w:szCs w:val="21"/>
          <w:lang w:val="en-US" w:eastAsia="zh-CN"/>
        </w:rPr>
      </w:pPr>
    </w:p>
    <w:tbl>
      <w:tblPr>
        <w:tblStyle w:val="5"/>
        <w:tblW w:w="85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3188"/>
        <w:gridCol w:w="3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出发地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目的地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运输时效（含取/送货当天）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同城（北京、天津按同城计）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北京/天津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上海/常熟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3~4天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北京/天津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2~3天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北京/天津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4~5天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北京/天津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宁夏/庆阳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5~7天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上海/北京/天津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北京/上海/天津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成都/重庆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4~5天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3~4天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常熟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2~3</w:t>
            </w:r>
          </w:p>
        </w:tc>
      </w:tr>
    </w:tbl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pStyle w:val="10"/>
        <w:numPr>
          <w:ilvl w:val="0"/>
          <w:numId w:val="1"/>
        </w:numPr>
        <w:ind w:left="432" w:leftChars="0" w:hanging="43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其他</w:t>
      </w:r>
    </w:p>
    <w:p>
      <w:pPr>
        <w:pStyle w:val="10"/>
        <w:numPr>
          <w:ilvl w:val="0"/>
          <w:numId w:val="6"/>
        </w:numPr>
        <w:ind w:left="425" w:leftChars="0" w:hanging="425" w:firstLineChars="0"/>
        <w:rPr>
          <w:rFonts w:hint="default" w:ascii="Segoe UI" w:hAnsi="Segoe UI" w:eastAsia="宋体" w:cs="Segoe UI"/>
          <w:color w:val="333333"/>
          <w:kern w:val="0"/>
          <w:szCs w:val="21"/>
          <w:lang w:val="en-US" w:eastAsia="zh-CN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lang w:val="en-US" w:eastAsia="zh-CN"/>
        </w:rPr>
        <w:t>仓储能力：能够随时提供至少2500台设备的库房存储空间（按照2U服务器折合空间），要求北上广、厦门具备仓储能力并保障设备安全性；</w:t>
      </w:r>
    </w:p>
    <w:p>
      <w:pPr>
        <w:pStyle w:val="10"/>
        <w:numPr>
          <w:ilvl w:val="0"/>
          <w:numId w:val="6"/>
        </w:numPr>
        <w:ind w:left="425" w:leftChars="0" w:hanging="425" w:firstLineChars="0"/>
        <w:rPr>
          <w:rFonts w:hint="default" w:ascii="Segoe UI" w:hAnsi="Segoe UI" w:eastAsia="宋体" w:cs="Segoe UI"/>
          <w:color w:val="333333"/>
          <w:kern w:val="0"/>
          <w:szCs w:val="21"/>
          <w:lang w:val="en-US" w:eastAsia="zh-CN"/>
        </w:rPr>
      </w:pPr>
      <w:r>
        <w:rPr>
          <w:rFonts w:hint="eastAsia" w:ascii="Segoe UI" w:hAnsi="Segoe UI" w:eastAsia="宋体" w:cs="Segoe UI"/>
          <w:color w:val="333333"/>
          <w:kern w:val="0"/>
          <w:szCs w:val="21"/>
          <w:lang w:val="en-US" w:eastAsia="zh-CN"/>
        </w:rPr>
        <w:t>操作支持：支持取、送货到指定地点（例如园区库房等）；</w:t>
      </w:r>
    </w:p>
    <w:p>
      <w:pPr>
        <w:pStyle w:val="10"/>
        <w:numPr>
          <w:ilvl w:val="0"/>
          <w:numId w:val="6"/>
        </w:numPr>
        <w:ind w:left="425" w:leftChars="0" w:hanging="425" w:firstLineChars="0"/>
      </w:pPr>
      <w:r>
        <w:rPr>
          <w:rFonts w:hint="eastAsia" w:ascii="Segoe UI" w:hAnsi="Segoe UI" w:eastAsia="宋体" w:cs="Segoe UI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大批量搬迁支持能力：北京、天津、上海等重点城市至少能满足支持当天上/下架操作500台设备的能力；</w:t>
      </w:r>
    </w:p>
    <w:p>
      <w:pPr>
        <w:pStyle w:val="10"/>
        <w:numPr>
          <w:ilvl w:val="0"/>
          <w:numId w:val="6"/>
        </w:numPr>
        <w:ind w:left="425" w:leftChars="0" w:hanging="425" w:firstLineChars="0"/>
      </w:pPr>
      <w:r>
        <w:rPr>
          <w:rFonts w:hint="eastAsia" w:ascii="Segoe UI" w:hAnsi="Segoe UI" w:eastAsia="宋体" w:cs="Segoe UI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CDN节点裁撤设备双向计费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259263"/>
    <w:multiLevelType w:val="singleLevel"/>
    <w:tmpl w:val="D425926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5CFA6F3"/>
    <w:multiLevelType w:val="singleLevel"/>
    <w:tmpl w:val="F5CFA6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5D76077"/>
    <w:multiLevelType w:val="singleLevel"/>
    <w:tmpl w:val="15D7607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D16CD67"/>
    <w:multiLevelType w:val="singleLevel"/>
    <w:tmpl w:val="4D16CD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2EAF13E"/>
    <w:multiLevelType w:val="singleLevel"/>
    <w:tmpl w:val="52EAF1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73B4CEE"/>
    <w:multiLevelType w:val="multilevel"/>
    <w:tmpl w:val="573B4CEE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xZWRkNmJjOGYyNGI4OTMyYmNmNmYwODZkMmFmZmEifQ=="/>
  </w:docVars>
  <w:rsids>
    <w:rsidRoot w:val="00E93927"/>
    <w:rsid w:val="001A054C"/>
    <w:rsid w:val="00281DF1"/>
    <w:rsid w:val="00377EFC"/>
    <w:rsid w:val="00524202"/>
    <w:rsid w:val="0059261C"/>
    <w:rsid w:val="006D4918"/>
    <w:rsid w:val="0087512C"/>
    <w:rsid w:val="00A55DB3"/>
    <w:rsid w:val="00A74153"/>
    <w:rsid w:val="00B65D4D"/>
    <w:rsid w:val="00BC73AE"/>
    <w:rsid w:val="00CD640D"/>
    <w:rsid w:val="00D41FC2"/>
    <w:rsid w:val="00DB71E3"/>
    <w:rsid w:val="00E93927"/>
    <w:rsid w:val="038A570F"/>
    <w:rsid w:val="0B373BB7"/>
    <w:rsid w:val="0D475B1C"/>
    <w:rsid w:val="10B169D0"/>
    <w:rsid w:val="133D4013"/>
    <w:rsid w:val="1A7E1F9E"/>
    <w:rsid w:val="23F469CD"/>
    <w:rsid w:val="2BCA4003"/>
    <w:rsid w:val="2C0F439E"/>
    <w:rsid w:val="42EF7BCA"/>
    <w:rsid w:val="47736093"/>
    <w:rsid w:val="4EF62160"/>
    <w:rsid w:val="5067133A"/>
    <w:rsid w:val="507E75CF"/>
    <w:rsid w:val="55066FC0"/>
    <w:rsid w:val="55175CA3"/>
    <w:rsid w:val="56EF5E78"/>
    <w:rsid w:val="58AB6E2E"/>
    <w:rsid w:val="5AF26F96"/>
    <w:rsid w:val="5DE15723"/>
    <w:rsid w:val="618E4DD4"/>
    <w:rsid w:val="64756A23"/>
    <w:rsid w:val="6B6C1E69"/>
    <w:rsid w:val="72435ED2"/>
    <w:rsid w:val="75F62383"/>
    <w:rsid w:val="7E192908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899</Words>
  <Characters>926</Characters>
  <Lines>2</Lines>
  <Paragraphs>1</Paragraphs>
  <TotalTime>30</TotalTime>
  <ScaleCrop>false</ScaleCrop>
  <LinksUpToDate>false</LinksUpToDate>
  <CharactersWithSpaces>926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2020-11-12T11:56:00Z</dcterms:created>
  <dc:creator>LILIPING [李丽萍]</dc:creator>
  <cp:lastModifiedBy>以墨々</cp:lastModifiedBy>
  <dcterms:modified xsi:type="dcterms:W3CDTF">2023-12-22T09:07:44Z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C55B0F95F740479FA62FF00F038FB1CD_13;88C3A5DD67CA4306AD4EE58D97C5FE78_13</vt:lpwstr>
  </property>
</Properties>
</file>