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r>
        <w:rPr>
          <w:rFonts w:hint="eastAsia" w:ascii="微软雅黑" w:hAnsi="微软雅黑" w:eastAsia="微软雅黑" w:cs="微软雅黑"/>
          <w:b/>
          <w:bCs/>
          <w:sz w:val="52"/>
          <w:szCs w:val="52"/>
          <w:lang w:eastAsia="zh-CN"/>
        </w:rPr>
        <w:t>招标文件</w:t>
      </w:r>
    </w:p>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p>
    <w:p>
      <w:pPr>
        <w:spacing w:line="360" w:lineRule="auto"/>
        <w:ind w:left="2100" w:firstLine="480" w:firstLineChars="200"/>
        <w:jc w:val="both"/>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招标项目：202</w:t>
      </w:r>
      <w:r>
        <w:rPr>
          <w:rFonts w:hint="eastAsia" w:ascii="微软雅黑" w:hAnsi="微软雅黑" w:eastAsia="微软雅黑" w:cs="微软雅黑"/>
          <w:b/>
          <w:bCs/>
          <w:lang w:val="en-US" w:eastAsia="zh-CN"/>
        </w:rPr>
        <w:t>4</w:t>
      </w:r>
      <w:r>
        <w:rPr>
          <w:rFonts w:hint="eastAsia" w:ascii="微软雅黑" w:hAnsi="微软雅黑" w:eastAsia="微软雅黑" w:cs="微软雅黑"/>
          <w:b/>
          <w:bCs/>
          <w:lang w:eastAsia="zh-CN"/>
        </w:rPr>
        <w:t>年金山云服务器运输物流招标项目</w:t>
      </w:r>
    </w:p>
    <w:p>
      <w:pPr>
        <w:spacing w:line="360" w:lineRule="auto"/>
        <w:ind w:left="2100" w:firstLine="480" w:firstLineChars="200"/>
        <w:jc w:val="both"/>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时    间：202</w:t>
      </w:r>
      <w:r>
        <w:rPr>
          <w:rFonts w:hint="eastAsia" w:ascii="微软雅黑" w:hAnsi="微软雅黑" w:eastAsia="微软雅黑" w:cs="微软雅黑"/>
          <w:b/>
          <w:bCs/>
          <w:lang w:val="en-US" w:eastAsia="zh-CN"/>
        </w:rPr>
        <w:t>3</w:t>
      </w:r>
      <w:r>
        <w:rPr>
          <w:rFonts w:hint="eastAsia" w:ascii="微软雅黑" w:hAnsi="微软雅黑" w:eastAsia="微软雅黑" w:cs="微软雅黑"/>
          <w:b/>
          <w:bCs/>
          <w:lang w:eastAsia="zh-CN"/>
        </w:rPr>
        <w:t>年</w:t>
      </w:r>
      <w:r>
        <w:rPr>
          <w:rFonts w:hint="eastAsia" w:ascii="微软雅黑" w:hAnsi="微软雅黑" w:eastAsia="微软雅黑" w:cs="微软雅黑"/>
          <w:b/>
          <w:bCs/>
          <w:lang w:val="en-US" w:eastAsia="zh-CN"/>
        </w:rPr>
        <w:t>12</w:t>
      </w:r>
      <w:r>
        <w:rPr>
          <w:rFonts w:hint="eastAsia" w:ascii="微软雅黑" w:hAnsi="微软雅黑" w:eastAsia="微软雅黑" w:cs="微软雅黑"/>
          <w:b/>
          <w:bCs/>
          <w:lang w:eastAsia="zh-CN"/>
        </w:rPr>
        <w:t>月</w:t>
      </w:r>
      <w:r>
        <w:rPr>
          <w:rFonts w:hint="eastAsia" w:ascii="微软雅黑" w:hAnsi="微软雅黑" w:eastAsia="微软雅黑" w:cs="微软雅黑"/>
          <w:b/>
          <w:bCs/>
          <w:lang w:val="en-US" w:eastAsia="zh-CN"/>
        </w:rPr>
        <w:t>27</w:t>
      </w:r>
      <w:r>
        <w:rPr>
          <w:rFonts w:hint="eastAsia" w:ascii="微软雅黑" w:hAnsi="微软雅黑" w:eastAsia="微软雅黑" w:cs="微软雅黑"/>
          <w:b/>
          <w:bCs/>
          <w:lang w:eastAsia="zh-CN"/>
        </w:rPr>
        <w:t>日</w:t>
      </w:r>
    </w:p>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p>
    <w:p>
      <w:pPr>
        <w:spacing w:line="360" w:lineRule="auto"/>
        <w:jc w:val="center"/>
        <w:rPr>
          <w:rFonts w:hint="eastAsia" w:ascii="微软雅黑" w:hAnsi="微软雅黑" w:eastAsia="微软雅黑" w:cs="微软雅黑"/>
          <w:b/>
          <w:bCs/>
          <w:sz w:val="52"/>
          <w:szCs w:val="52"/>
          <w:lang w:eastAsia="zh-CN"/>
        </w:rPr>
      </w:pPr>
    </w:p>
    <w:p>
      <w:pPr>
        <w:spacing w:line="360" w:lineRule="auto"/>
        <w:rPr>
          <w:rFonts w:hint="eastAsia" w:ascii="微软雅黑" w:hAnsi="微软雅黑" w:eastAsia="微软雅黑" w:cs="微软雅黑"/>
          <w:b/>
          <w:bCs/>
          <w:sz w:val="52"/>
          <w:szCs w:val="52"/>
          <w:lang w:eastAsia="zh-CN"/>
        </w:rPr>
      </w:pPr>
    </w:p>
    <w:p>
      <w:pPr>
        <w:pStyle w:val="3"/>
        <w:rPr>
          <w:rFonts w:hint="eastAsia" w:ascii="微软雅黑" w:hAnsi="微软雅黑" w:eastAsia="微软雅黑" w:cs="微软雅黑"/>
        </w:rPr>
      </w:pPr>
      <w:r>
        <w:rPr>
          <w:rFonts w:hint="eastAsia" w:ascii="微软雅黑" w:hAnsi="微软雅黑" w:eastAsia="微软雅黑" w:cs="微软雅黑"/>
          <w:lang w:eastAsia="zh-CN"/>
        </w:rPr>
        <w:t>1、</w:t>
      </w:r>
      <w:r>
        <w:rPr>
          <w:rFonts w:hint="eastAsia" w:ascii="微软雅黑" w:hAnsi="微软雅黑" w:eastAsia="微软雅黑" w:cs="微软雅黑"/>
        </w:rPr>
        <w:t>招标邀请</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130"/>
        </w:tabs>
        <w:spacing w:line="360" w:lineRule="auto"/>
        <w:ind w:firstLine="480" w:firstLineChars="200"/>
        <w:rPr>
          <w:rFonts w:hint="eastAsia" w:ascii="微软雅黑" w:hAnsi="微软雅黑" w:eastAsia="微软雅黑" w:cs="微软雅黑"/>
          <w:bCs/>
          <w:lang w:eastAsia="zh-CN"/>
        </w:rPr>
      </w:pPr>
      <w:r>
        <w:rPr>
          <w:rFonts w:hint="eastAsia" w:ascii="微软雅黑" w:hAnsi="微软雅黑" w:eastAsia="微软雅黑" w:cs="微软雅黑"/>
          <w:bCs/>
          <w:lang w:eastAsia="zh-CN"/>
        </w:rPr>
        <w:t>我司正式启动</w:t>
      </w:r>
      <w:r>
        <w:rPr>
          <w:rFonts w:hint="eastAsia" w:ascii="微软雅黑" w:hAnsi="微软雅黑" w:eastAsia="微软雅黑" w:cs="微软雅黑"/>
          <w:b/>
          <w:bCs/>
          <w:lang w:eastAsia="zh-CN"/>
        </w:rPr>
        <w:t>202</w:t>
      </w:r>
      <w:r>
        <w:rPr>
          <w:rFonts w:hint="eastAsia" w:ascii="微软雅黑" w:hAnsi="微软雅黑" w:eastAsia="微软雅黑" w:cs="微软雅黑"/>
          <w:b/>
          <w:bCs/>
          <w:lang w:val="en-US" w:eastAsia="zh-CN"/>
        </w:rPr>
        <w:t>4</w:t>
      </w:r>
      <w:r>
        <w:rPr>
          <w:rFonts w:hint="eastAsia" w:ascii="微软雅黑" w:hAnsi="微软雅黑" w:eastAsia="微软雅黑" w:cs="微软雅黑"/>
          <w:b/>
          <w:bCs/>
          <w:lang w:eastAsia="zh-CN"/>
        </w:rPr>
        <w:t>年金山云服务器运输物流</w:t>
      </w:r>
      <w:r>
        <w:rPr>
          <w:rFonts w:hint="eastAsia" w:ascii="微软雅黑" w:hAnsi="微软雅黑" w:eastAsia="微软雅黑" w:cs="微软雅黑"/>
          <w:b/>
          <w:bCs w:val="0"/>
          <w:lang w:eastAsia="zh-CN"/>
        </w:rPr>
        <w:t>招标项目</w:t>
      </w:r>
      <w:r>
        <w:rPr>
          <w:rFonts w:hint="eastAsia" w:ascii="微软雅黑" w:hAnsi="微软雅黑" w:eastAsia="微软雅黑" w:cs="微软雅黑"/>
          <w:bCs/>
          <w:lang w:eastAsia="zh-CN"/>
        </w:rPr>
        <w:t>，现诚邀贵司参加，本项目秉承公平,公正,透明、诚信原则。</w:t>
      </w:r>
    </w:p>
    <w:p>
      <w:pPr>
        <w:pStyle w:val="3"/>
        <w:rPr>
          <w:rFonts w:hint="eastAsia" w:ascii="微软雅黑" w:hAnsi="微软雅黑" w:eastAsia="微软雅黑" w:cs="微软雅黑"/>
        </w:rPr>
      </w:pPr>
      <w:bookmarkStart w:id="0" w:name="_Toc41499223"/>
      <w:r>
        <w:rPr>
          <w:rFonts w:hint="eastAsia" w:ascii="微软雅黑" w:hAnsi="微软雅黑" w:eastAsia="微软雅黑" w:cs="微软雅黑"/>
        </w:rPr>
        <w:t>2、定义</w:t>
      </w:r>
      <w:bookmarkEnd w:id="0"/>
    </w:p>
    <w:p>
      <w:pPr>
        <w:spacing w:line="360" w:lineRule="auto"/>
        <w:ind w:firstLine="482"/>
        <w:rPr>
          <w:rFonts w:hint="eastAsia" w:ascii="微软雅黑" w:hAnsi="微软雅黑" w:eastAsia="微软雅黑" w:cs="微软雅黑"/>
          <w:b/>
        </w:rPr>
      </w:pPr>
      <w:r>
        <w:rPr>
          <w:rFonts w:hint="eastAsia" w:ascii="微软雅黑" w:hAnsi="微软雅黑" w:eastAsia="微软雅黑" w:cs="微软雅黑"/>
          <w:b/>
        </w:rPr>
        <w:t>招标人：</w:t>
      </w:r>
      <w:r>
        <w:rPr>
          <w:rFonts w:hint="eastAsia" w:ascii="微软雅黑" w:hAnsi="微软雅黑" w:eastAsia="微软雅黑" w:cs="微软雅黑"/>
          <w:bCs/>
        </w:rPr>
        <w:t>北京金山云网络技术有限</w:t>
      </w:r>
      <w:r>
        <w:rPr>
          <w:rFonts w:hint="eastAsia" w:ascii="微软雅黑" w:hAnsi="微软雅黑" w:eastAsia="微软雅黑" w:cs="微软雅黑"/>
        </w:rPr>
        <w:t>公司；</w:t>
      </w:r>
    </w:p>
    <w:p>
      <w:pPr>
        <w:spacing w:line="360" w:lineRule="auto"/>
        <w:ind w:firstLine="482"/>
        <w:rPr>
          <w:rFonts w:hint="eastAsia" w:ascii="微软雅黑" w:hAnsi="微软雅黑" w:eastAsia="微软雅黑" w:cs="微软雅黑"/>
        </w:rPr>
      </w:pPr>
      <w:r>
        <w:rPr>
          <w:rFonts w:hint="eastAsia" w:ascii="微软雅黑" w:hAnsi="微软雅黑" w:eastAsia="微软雅黑" w:cs="微软雅黑"/>
          <w:b/>
        </w:rPr>
        <w:t>投标人：</w:t>
      </w:r>
      <w:r>
        <w:rPr>
          <w:rFonts w:hint="eastAsia" w:ascii="微软雅黑" w:hAnsi="微软雅黑" w:eastAsia="微软雅黑" w:cs="微软雅黑"/>
        </w:rPr>
        <w:t>投标人为接受招标人邀请且符合投标人资格（本部分第6条）规定的法人主体</w:t>
      </w:r>
      <w:r>
        <w:rPr>
          <w:rFonts w:hint="eastAsia" w:ascii="微软雅黑" w:hAnsi="微软雅黑" w:eastAsia="微软雅黑" w:cs="微软雅黑"/>
          <w:b/>
        </w:rPr>
        <w:t>。</w:t>
      </w:r>
      <w:r>
        <w:rPr>
          <w:rFonts w:hint="eastAsia" w:ascii="微软雅黑" w:hAnsi="微软雅黑" w:eastAsia="微软雅黑" w:cs="微软雅黑"/>
        </w:rPr>
        <w:t>在向招标人提交投标文件的过程中，投标人应遵守中华人民共和国的有</w:t>
      </w:r>
      <w:r>
        <w:rPr>
          <w:rFonts w:hint="eastAsia" w:ascii="微软雅黑" w:hAnsi="微软雅黑" w:eastAsia="微软雅黑" w:cs="微软雅黑"/>
          <w:lang w:val="en-US" w:eastAsia="zh-CN"/>
        </w:rPr>
        <w:t>关</w:t>
      </w:r>
      <w:r>
        <w:rPr>
          <w:rFonts w:hint="eastAsia" w:ascii="微软雅黑" w:hAnsi="微软雅黑" w:eastAsia="微软雅黑" w:cs="微软雅黑"/>
        </w:rPr>
        <w:t>法律和规章条例。</w:t>
      </w:r>
    </w:p>
    <w:p>
      <w:pPr>
        <w:pStyle w:val="3"/>
        <w:rPr>
          <w:rFonts w:hint="eastAsia" w:ascii="微软雅黑" w:hAnsi="微软雅黑" w:eastAsia="微软雅黑" w:cs="微软雅黑"/>
        </w:rPr>
      </w:pPr>
      <w:bookmarkStart w:id="1" w:name="_Toc41499224"/>
      <w:r>
        <w:rPr>
          <w:rFonts w:hint="eastAsia" w:ascii="微软雅黑" w:hAnsi="微软雅黑" w:eastAsia="微软雅黑" w:cs="微软雅黑"/>
        </w:rPr>
        <w:t>3、招标</w:t>
      </w:r>
      <w:bookmarkEnd w:id="1"/>
      <w:r>
        <w:rPr>
          <w:rFonts w:hint="eastAsia" w:ascii="微软雅黑" w:hAnsi="微软雅黑" w:eastAsia="微软雅黑" w:cs="微软雅黑"/>
        </w:rPr>
        <w:t>需求</w:t>
      </w:r>
    </w:p>
    <w:p>
      <w:pPr>
        <w:pStyle w:val="5"/>
        <w:rPr>
          <w:rFonts w:hint="eastAsia" w:ascii="微软雅黑" w:hAnsi="微软雅黑" w:eastAsia="微软雅黑" w:cs="微软雅黑"/>
        </w:rPr>
      </w:pPr>
      <w:r>
        <w:rPr>
          <w:rFonts w:hint="eastAsia" w:ascii="微软雅黑" w:hAnsi="微软雅黑" w:eastAsia="微软雅黑" w:cs="微软雅黑"/>
          <w:kern w:val="2"/>
          <w:sz w:val="24"/>
          <w:szCs w:val="24"/>
        </w:rPr>
        <w:t>详见</w:t>
      </w:r>
      <w:r>
        <w:rPr>
          <w:rFonts w:hint="eastAsia" w:ascii="微软雅黑" w:hAnsi="微软雅黑" w:eastAsia="微软雅黑" w:cs="微软雅黑"/>
          <w:kern w:val="2"/>
          <w:sz w:val="24"/>
          <w:szCs w:val="24"/>
          <w:lang w:val="en-US" w:eastAsia="zh-CN"/>
        </w:rPr>
        <w:t>2024年金山云</w:t>
      </w:r>
      <w:r>
        <w:rPr>
          <w:rFonts w:hint="eastAsia" w:ascii="微软雅黑" w:hAnsi="微软雅黑" w:eastAsia="微软雅黑" w:cs="微软雅黑"/>
          <w:kern w:val="2"/>
          <w:sz w:val="24"/>
          <w:szCs w:val="24"/>
        </w:rPr>
        <w:t>物流服务说明书</w:t>
      </w:r>
      <w:r>
        <w:rPr>
          <w:rFonts w:hint="eastAsia" w:ascii="微软雅黑" w:hAnsi="微软雅黑" w:eastAsia="微软雅黑" w:cs="微软雅黑"/>
          <w:kern w:val="2"/>
          <w:sz w:val="24"/>
          <w:szCs w:val="24"/>
          <w:lang w:eastAsia="zh-CN"/>
        </w:rPr>
        <w:t>（</w:t>
      </w:r>
      <w:r>
        <w:rPr>
          <w:rFonts w:hint="eastAsia" w:ascii="微软雅黑" w:hAnsi="微软雅黑" w:eastAsia="微软雅黑" w:cs="微软雅黑"/>
          <w:kern w:val="2"/>
          <w:sz w:val="24"/>
          <w:szCs w:val="24"/>
          <w:lang w:val="en-US" w:eastAsia="zh-CN"/>
        </w:rPr>
        <w:t>附件一</w:t>
      </w:r>
      <w:r>
        <w:rPr>
          <w:rFonts w:hint="eastAsia" w:ascii="微软雅黑" w:hAnsi="微软雅黑" w:eastAsia="微软雅黑" w:cs="微软雅黑"/>
          <w:kern w:val="2"/>
          <w:sz w:val="24"/>
          <w:szCs w:val="24"/>
          <w:lang w:eastAsia="zh-CN"/>
        </w:rPr>
        <w:t>）</w:t>
      </w:r>
      <w:r>
        <w:rPr>
          <w:rFonts w:hint="eastAsia" w:ascii="微软雅黑" w:hAnsi="微软雅黑" w:eastAsia="微软雅黑" w:cs="微软雅黑"/>
          <w:kern w:val="2"/>
          <w:sz w:val="24"/>
          <w:szCs w:val="24"/>
          <w:lang w:val="en-US" w:eastAsia="zh-CN"/>
        </w:rPr>
        <w:t>2024年金山云</w:t>
      </w:r>
      <w:r>
        <w:rPr>
          <w:rFonts w:hint="eastAsia" w:ascii="微软雅黑" w:hAnsi="微软雅黑" w:eastAsia="微软雅黑" w:cs="微软雅黑"/>
          <w:kern w:val="2"/>
          <w:sz w:val="24"/>
          <w:szCs w:val="24"/>
        </w:rPr>
        <w:t>物流服务</w:t>
      </w:r>
      <w:r>
        <w:rPr>
          <w:rFonts w:hint="eastAsia" w:ascii="微软雅黑" w:hAnsi="微软雅黑" w:eastAsia="微软雅黑" w:cs="微软雅黑"/>
          <w:kern w:val="2"/>
          <w:sz w:val="24"/>
          <w:szCs w:val="24"/>
          <w:lang w:val="en-US" w:eastAsia="zh-CN"/>
        </w:rPr>
        <w:t>KPI考核标准（附件二）</w:t>
      </w:r>
      <w:r>
        <w:rPr>
          <w:rFonts w:hint="eastAsia" w:ascii="微软雅黑" w:hAnsi="微软雅黑" w:eastAsia="微软雅黑" w:cs="微软雅黑"/>
          <w:kern w:val="2"/>
          <w:sz w:val="24"/>
          <w:szCs w:val="24"/>
        </w:rPr>
        <w:t>和</w:t>
      </w:r>
      <w:r>
        <w:rPr>
          <w:rFonts w:hint="eastAsia" w:ascii="微软雅黑" w:hAnsi="微软雅黑" w:eastAsia="微软雅黑" w:cs="微软雅黑"/>
          <w:kern w:val="2"/>
          <w:sz w:val="24"/>
          <w:szCs w:val="24"/>
          <w:lang w:val="en-US" w:eastAsia="zh-CN"/>
        </w:rPr>
        <w:t>2024年金山云服务器运输招标项目报价单</w:t>
      </w:r>
      <w:r>
        <w:rPr>
          <w:rFonts w:hint="eastAsia" w:ascii="微软雅黑" w:hAnsi="微软雅黑" w:eastAsia="微软雅黑" w:cs="微软雅黑"/>
          <w:kern w:val="2"/>
          <w:sz w:val="24"/>
          <w:szCs w:val="24"/>
          <w:lang w:eastAsia="zh-CN"/>
        </w:rPr>
        <w:t>（</w:t>
      </w:r>
      <w:r>
        <w:rPr>
          <w:rFonts w:hint="eastAsia" w:ascii="微软雅黑" w:hAnsi="微软雅黑" w:eastAsia="微软雅黑" w:cs="微软雅黑"/>
          <w:kern w:val="2"/>
          <w:sz w:val="24"/>
          <w:szCs w:val="24"/>
          <w:lang w:val="en-US" w:eastAsia="zh-CN"/>
        </w:rPr>
        <w:t>附件四及附件五</w:t>
      </w:r>
      <w:r>
        <w:rPr>
          <w:rFonts w:hint="eastAsia" w:ascii="微软雅黑" w:hAnsi="微软雅黑" w:eastAsia="微软雅黑" w:cs="微软雅黑"/>
          <w:kern w:val="2"/>
          <w:sz w:val="24"/>
          <w:szCs w:val="24"/>
          <w:lang w:eastAsia="zh-CN"/>
        </w:rPr>
        <w:t>）</w:t>
      </w:r>
      <w:r>
        <w:rPr>
          <w:rFonts w:hint="eastAsia" w:ascii="微软雅黑" w:hAnsi="微软雅黑" w:eastAsia="微软雅黑" w:cs="微软雅黑"/>
          <w:kern w:val="2"/>
          <w:sz w:val="24"/>
          <w:szCs w:val="24"/>
        </w:rPr>
        <w:t>。</w:t>
      </w:r>
    </w:p>
    <w:p>
      <w:pPr>
        <w:pStyle w:val="3"/>
        <w:rPr>
          <w:rFonts w:hint="eastAsia" w:ascii="微软雅黑" w:hAnsi="微软雅黑" w:eastAsia="微软雅黑" w:cs="微软雅黑"/>
        </w:rPr>
      </w:pPr>
      <w:bookmarkStart w:id="2" w:name="_Toc41499225"/>
      <w:r>
        <w:rPr>
          <w:rFonts w:hint="eastAsia" w:ascii="微软雅黑" w:hAnsi="微软雅黑" w:eastAsia="微软雅黑" w:cs="微软雅黑"/>
        </w:rPr>
        <w:t>4、招标文件的构成</w:t>
      </w:r>
      <w:bookmarkEnd w:id="2"/>
    </w:p>
    <w:p>
      <w:pPr>
        <w:spacing w:line="360" w:lineRule="auto"/>
        <w:rPr>
          <w:rFonts w:hint="eastAsia" w:ascii="微软雅黑" w:hAnsi="微软雅黑" w:eastAsia="微软雅黑" w:cs="微软雅黑"/>
        </w:rPr>
      </w:pPr>
      <w:r>
        <w:rPr>
          <w:rFonts w:hint="eastAsia" w:ascii="微软雅黑" w:hAnsi="微软雅黑" w:eastAsia="微软雅黑" w:cs="微软雅黑"/>
          <w:b/>
        </w:rPr>
        <w:tab/>
      </w:r>
      <w:r>
        <w:rPr>
          <w:rFonts w:hint="eastAsia" w:ascii="微软雅黑" w:hAnsi="微软雅黑" w:eastAsia="微软雅黑" w:cs="微软雅黑"/>
        </w:rPr>
        <w:t>招标文件包括：</w:t>
      </w:r>
    </w:p>
    <w:p>
      <w:pPr>
        <w:pStyle w:val="27"/>
        <w:numPr>
          <w:ilvl w:val="0"/>
          <w:numId w:val="2"/>
        </w:numPr>
        <w:spacing w:line="360" w:lineRule="auto"/>
        <w:ind w:firstLineChars="0"/>
        <w:jc w:val="both"/>
        <w:rPr>
          <w:rFonts w:hint="eastAsia" w:ascii="微软雅黑" w:hAnsi="微软雅黑" w:eastAsia="微软雅黑" w:cs="微软雅黑"/>
        </w:rPr>
      </w:pPr>
      <w:r>
        <w:rPr>
          <w:rFonts w:hint="eastAsia" w:ascii="微软雅黑" w:hAnsi="微软雅黑" w:eastAsia="微软雅黑" w:cs="微软雅黑"/>
        </w:rPr>
        <w:t>第一部分  投标须知</w:t>
      </w:r>
    </w:p>
    <w:p>
      <w:pPr>
        <w:pStyle w:val="27"/>
        <w:numPr>
          <w:ilvl w:val="0"/>
          <w:numId w:val="2"/>
        </w:numPr>
        <w:spacing w:line="360" w:lineRule="auto"/>
        <w:ind w:firstLineChars="0"/>
        <w:jc w:val="both"/>
        <w:rPr>
          <w:rFonts w:hint="eastAsia" w:ascii="微软雅黑" w:hAnsi="微软雅黑" w:eastAsia="微软雅黑" w:cs="微软雅黑"/>
        </w:rPr>
      </w:pPr>
      <w:r>
        <w:rPr>
          <w:rFonts w:hint="eastAsia" w:ascii="微软雅黑" w:hAnsi="微软雅黑" w:eastAsia="微软雅黑" w:cs="微软雅黑"/>
        </w:rPr>
        <w:t xml:space="preserve">第二部分 </w:t>
      </w:r>
      <w:r>
        <w:rPr>
          <w:rFonts w:hint="eastAsia" w:ascii="微软雅黑" w:hAnsi="微软雅黑" w:eastAsia="微软雅黑" w:cs="微软雅黑"/>
          <w:lang w:val="en-US" w:eastAsia="zh-CN"/>
        </w:rPr>
        <w:t xml:space="preserve"> 附件</w:t>
      </w:r>
    </w:p>
    <w:p>
      <w:pPr>
        <w:pStyle w:val="3"/>
        <w:rPr>
          <w:rFonts w:hint="eastAsia" w:ascii="微软雅黑" w:hAnsi="微软雅黑" w:eastAsia="微软雅黑" w:cs="微软雅黑"/>
        </w:rPr>
      </w:pPr>
      <w:bookmarkStart w:id="3" w:name="_Toc510579297"/>
      <w:bookmarkEnd w:id="3"/>
      <w:bookmarkStart w:id="4" w:name="_Toc510579298"/>
      <w:bookmarkEnd w:id="4"/>
      <w:bookmarkStart w:id="5" w:name="_Toc41499227"/>
      <w:r>
        <w:rPr>
          <w:rFonts w:hint="eastAsia" w:ascii="微软雅黑" w:hAnsi="微软雅黑" w:eastAsia="微软雅黑" w:cs="微软雅黑"/>
        </w:rPr>
        <w:t>5、招标文件中的资料和数据</w:t>
      </w:r>
      <w:bookmarkEnd w:id="5"/>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5.1招标文件中提供的资料和数据，是为使投标人能够充分正确地理解招标文件进行投标。投标人由此而做出的推论、解释和结论，招标人概不负责。</w:t>
      </w:r>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5.2凡收到招标文件的单位，不论是否投标，均需对招标文件负责保密。所涉及的资料和数据，属招标人所有，投标人不得在本项目以外使用。</w:t>
      </w:r>
    </w:p>
    <w:p>
      <w:pPr>
        <w:pStyle w:val="3"/>
        <w:rPr>
          <w:rFonts w:hint="eastAsia" w:ascii="微软雅黑" w:hAnsi="微软雅黑" w:eastAsia="微软雅黑" w:cs="微软雅黑"/>
        </w:rPr>
      </w:pPr>
      <w:bookmarkStart w:id="6" w:name="_Toc41499228"/>
      <w:r>
        <w:rPr>
          <w:rFonts w:hint="eastAsia" w:ascii="微软雅黑" w:hAnsi="微软雅黑" w:eastAsia="微软雅黑" w:cs="微软雅黑"/>
        </w:rPr>
        <w:t>6、投标人资格</w:t>
      </w:r>
      <w:bookmarkEnd w:id="6"/>
    </w:p>
    <w:p>
      <w:pPr>
        <w:pStyle w:val="42"/>
        <w:widowControl/>
        <w:numPr>
          <w:ilvl w:val="0"/>
          <w:numId w:val="3"/>
        </w:numPr>
        <w:spacing w:line="360" w:lineRule="auto"/>
        <w:ind w:firstLineChars="0"/>
        <w:rPr>
          <w:rFonts w:hint="eastAsia" w:ascii="微软雅黑" w:hAnsi="微软雅黑" w:eastAsia="微软雅黑" w:cs="微软雅黑"/>
          <w:sz w:val="24"/>
          <w:szCs w:val="21"/>
        </w:rPr>
      </w:pPr>
      <w:r>
        <w:rPr>
          <w:rFonts w:hint="eastAsia" w:ascii="微软雅黑" w:hAnsi="微软雅黑" w:eastAsia="微软雅黑" w:cs="微软雅黑"/>
          <w:sz w:val="24"/>
          <w:szCs w:val="21"/>
        </w:rPr>
        <w:t>投标人必须是</w:t>
      </w:r>
      <w:r>
        <w:rPr>
          <w:rFonts w:hint="eastAsia" w:ascii="微软雅黑" w:hAnsi="微软雅黑" w:eastAsia="微软雅黑" w:cs="微软雅黑"/>
          <w:bCs/>
          <w:sz w:val="24"/>
          <w:szCs w:val="21"/>
        </w:rPr>
        <w:t>在中华人民共和国工商管理部门注册的，具有独立法人资格的企业，且必须具备所报产品/服务的经营能力（所报产品/服务在注册经营范围内），以及所报产品/服务的代理资质（如有）。</w:t>
      </w:r>
      <w:r>
        <w:rPr>
          <w:rFonts w:hint="eastAsia" w:ascii="微软雅黑" w:hAnsi="微软雅黑" w:eastAsia="微软雅黑" w:cs="微软雅黑"/>
          <w:sz w:val="24"/>
          <w:szCs w:val="21"/>
        </w:rPr>
        <w:t>本项目</w:t>
      </w:r>
      <w:r>
        <w:rPr>
          <w:rFonts w:hint="eastAsia" w:ascii="微软雅黑" w:hAnsi="微软雅黑" w:eastAsia="微软雅黑" w:cs="微软雅黑"/>
          <w:color w:val="000000"/>
          <w:sz w:val="24"/>
          <w:szCs w:val="21"/>
        </w:rPr>
        <w:t>不接受联合体投标，以及</w:t>
      </w:r>
      <w:r>
        <w:rPr>
          <w:rFonts w:hint="eastAsia" w:ascii="微软雅黑" w:hAnsi="微软雅黑" w:eastAsia="微软雅黑" w:cs="微软雅黑"/>
          <w:sz w:val="24"/>
          <w:szCs w:val="21"/>
        </w:rPr>
        <w:t>正在改制或重组企业的投标。</w:t>
      </w:r>
    </w:p>
    <w:p>
      <w:pPr>
        <w:pStyle w:val="42"/>
        <w:widowControl/>
        <w:numPr>
          <w:ilvl w:val="0"/>
          <w:numId w:val="3"/>
        </w:numPr>
        <w:spacing w:line="360" w:lineRule="auto"/>
        <w:ind w:firstLineChars="0"/>
        <w:rPr>
          <w:rFonts w:hint="eastAsia" w:ascii="微软雅黑" w:hAnsi="微软雅黑" w:eastAsia="微软雅黑" w:cs="微软雅黑"/>
          <w:sz w:val="24"/>
          <w:szCs w:val="21"/>
        </w:rPr>
      </w:pPr>
      <w:r>
        <w:rPr>
          <w:rFonts w:hint="eastAsia" w:ascii="微软雅黑" w:hAnsi="微软雅黑" w:eastAsia="微软雅黑" w:cs="微软雅黑"/>
          <w:bCs/>
          <w:sz w:val="24"/>
        </w:rPr>
        <w:t>投标人不得以任何形式进行转包，或借用他人资质投标。一经发现，作废标处理；</w:t>
      </w:r>
    </w:p>
    <w:p>
      <w:pPr>
        <w:pStyle w:val="42"/>
        <w:widowControl/>
        <w:numPr>
          <w:ilvl w:val="0"/>
          <w:numId w:val="3"/>
        </w:numPr>
        <w:spacing w:line="360" w:lineRule="auto"/>
        <w:ind w:firstLineChars="0"/>
        <w:rPr>
          <w:rFonts w:hint="eastAsia" w:ascii="微软雅黑" w:hAnsi="微软雅黑" w:eastAsia="微软雅黑" w:cs="微软雅黑"/>
          <w:sz w:val="24"/>
          <w:szCs w:val="21"/>
        </w:rPr>
      </w:pPr>
      <w:r>
        <w:rPr>
          <w:rFonts w:hint="eastAsia" w:ascii="微软雅黑" w:hAnsi="微软雅黑" w:eastAsia="微软雅黑" w:cs="微软雅黑"/>
          <w:sz w:val="24"/>
          <w:szCs w:val="21"/>
        </w:rPr>
        <w:t>投标人不得围标，如投标人存在关联关系的企业也参与本次投标的，投标人应在投标文件中明确说明与其他投标人的关联关系情况，如果未进行明确提示说明，一经发现视为围标，招标人有权将其废标，如果已经签订合同，招标人有权解除合同且不承担违约责任。因投标人围标给招标人造成的损害，招标人有权要求获得赔偿。</w:t>
      </w:r>
    </w:p>
    <w:p>
      <w:pPr>
        <w:pStyle w:val="42"/>
        <w:widowControl/>
        <w:numPr>
          <w:ilvl w:val="0"/>
          <w:numId w:val="3"/>
        </w:numPr>
        <w:spacing w:line="360" w:lineRule="auto"/>
        <w:ind w:firstLineChars="0"/>
        <w:rPr>
          <w:rFonts w:hint="eastAsia" w:ascii="微软雅黑" w:hAnsi="微软雅黑" w:eastAsia="微软雅黑" w:cs="微软雅黑"/>
          <w:sz w:val="24"/>
          <w:szCs w:val="21"/>
        </w:rPr>
      </w:pPr>
      <w:r>
        <w:rPr>
          <w:rFonts w:hint="eastAsia" w:ascii="微软雅黑" w:hAnsi="微软雅黑" w:eastAsia="微软雅黑" w:cs="微软雅黑"/>
          <w:color w:val="000000"/>
          <w:sz w:val="24"/>
          <w:szCs w:val="21"/>
        </w:rPr>
        <w:t>投标人</w:t>
      </w:r>
      <w:r>
        <w:rPr>
          <w:rFonts w:hint="eastAsia" w:ascii="微软雅黑" w:hAnsi="微软雅黑" w:eastAsia="微软雅黑" w:cs="微软雅黑"/>
          <w:bCs/>
          <w:color w:val="000000"/>
          <w:sz w:val="24"/>
          <w:szCs w:val="21"/>
        </w:rPr>
        <w:t>应具有圆满地履行合同的能力，包括财务能力和资金实力、质量保证能力和其他相关</w:t>
      </w:r>
      <w:r>
        <w:rPr>
          <w:rFonts w:hint="eastAsia" w:ascii="微软雅黑" w:hAnsi="微软雅黑" w:eastAsia="微软雅黑" w:cs="微软雅黑"/>
          <w:sz w:val="24"/>
          <w:szCs w:val="21"/>
        </w:rPr>
        <w:t>的配套服务能力；</w:t>
      </w:r>
    </w:p>
    <w:p>
      <w:pPr>
        <w:pStyle w:val="42"/>
        <w:widowControl/>
        <w:numPr>
          <w:ilvl w:val="0"/>
          <w:numId w:val="3"/>
        </w:numPr>
        <w:spacing w:line="360" w:lineRule="auto"/>
        <w:ind w:firstLineChars="0"/>
        <w:jc w:val="left"/>
        <w:rPr>
          <w:rFonts w:hint="eastAsia" w:ascii="微软雅黑" w:hAnsi="微软雅黑" w:eastAsia="微软雅黑" w:cs="微软雅黑"/>
          <w:sz w:val="24"/>
          <w:szCs w:val="21"/>
        </w:rPr>
      </w:pPr>
      <w:r>
        <w:rPr>
          <w:rFonts w:hint="eastAsia" w:ascii="微软雅黑" w:hAnsi="微软雅黑" w:eastAsia="微软雅黑" w:cs="微软雅黑"/>
          <w:sz w:val="24"/>
          <w:szCs w:val="21"/>
        </w:rPr>
        <w:t>具有良好的银行资信和商业信誉，没有处于被责令停业、财产被接管、冻结、破产状态。目前和过去3年内无因自身原因引起的合同中止、纠纷、争议、仲裁和起诉记录，并明确对证明的真实性承担法律责任；</w:t>
      </w:r>
    </w:p>
    <w:p>
      <w:pPr>
        <w:pStyle w:val="42"/>
        <w:widowControl/>
        <w:numPr>
          <w:ilvl w:val="0"/>
          <w:numId w:val="3"/>
        </w:numPr>
        <w:spacing w:line="360" w:lineRule="auto"/>
        <w:ind w:firstLineChars="0"/>
        <w:rPr>
          <w:rFonts w:hint="eastAsia" w:ascii="微软雅黑" w:hAnsi="微软雅黑" w:eastAsia="微软雅黑" w:cs="微软雅黑"/>
          <w:sz w:val="24"/>
          <w:szCs w:val="21"/>
        </w:rPr>
      </w:pPr>
      <w:r>
        <w:rPr>
          <w:rFonts w:hint="eastAsia" w:ascii="微软雅黑" w:hAnsi="微软雅黑" w:eastAsia="微软雅黑" w:cs="微软雅黑"/>
          <w:sz w:val="24"/>
          <w:szCs w:val="21"/>
        </w:rPr>
        <w:t>允许招标人对于贵公司前5名客户进行非价格咨询的询问，以验证贵公司服务质量和服务。</w:t>
      </w:r>
    </w:p>
    <w:p>
      <w:pPr>
        <w:pStyle w:val="3"/>
        <w:rPr>
          <w:rFonts w:hint="eastAsia" w:ascii="微软雅黑" w:hAnsi="微软雅黑" w:eastAsia="微软雅黑" w:cs="微软雅黑"/>
        </w:rPr>
      </w:pPr>
      <w:bookmarkStart w:id="7" w:name="_Toc41499229"/>
      <w:r>
        <w:rPr>
          <w:rFonts w:hint="eastAsia" w:ascii="微软雅黑" w:hAnsi="微软雅黑" w:eastAsia="微软雅黑" w:cs="微软雅黑"/>
        </w:rPr>
        <w:t>7、投标文件的编制</w:t>
      </w:r>
      <w:bookmarkEnd w:id="7"/>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7.1 投标人应认真阅读招标文件的所有内容，按招标文件的要求提供投标文件，并保证所提供的全部资料的真实性，以使其投标对招标文件做出实质性响应，否则，招标人有权拒绝或对其投标予以废标处理。</w:t>
      </w:r>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7.2投标人提交的投标文件以及投标人与招标机构就有关投标的所有来往函电均应以中文书写，且以之为准。</w:t>
      </w:r>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7.3投标文件应填写完整，准确无误，需授权人签署并加盖公司公章，以保证投标文件的有效性。</w:t>
      </w:r>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7.4所提供的项目方案和资料必须能反映投标人在标书中建议的指标，否则将视为不响应。</w:t>
      </w:r>
    </w:p>
    <w:p>
      <w:pPr>
        <w:pStyle w:val="3"/>
        <w:rPr>
          <w:rFonts w:hint="eastAsia" w:ascii="微软雅黑" w:hAnsi="微软雅黑" w:eastAsia="微软雅黑" w:cs="微软雅黑"/>
          <w:highlight w:val="none"/>
        </w:rPr>
      </w:pPr>
      <w:bookmarkStart w:id="8" w:name="_Toc41499230"/>
      <w:r>
        <w:rPr>
          <w:rFonts w:hint="eastAsia" w:ascii="微软雅黑" w:hAnsi="微软雅黑" w:eastAsia="微软雅黑" w:cs="微软雅黑"/>
        </w:rPr>
        <w:t>8</w:t>
      </w:r>
      <w:r>
        <w:rPr>
          <w:rFonts w:hint="eastAsia" w:ascii="微软雅黑" w:hAnsi="微软雅黑" w:eastAsia="微软雅黑" w:cs="微软雅黑"/>
          <w:highlight w:val="none"/>
        </w:rPr>
        <w:t>、投标文件的构成</w:t>
      </w:r>
      <w:bookmarkEnd w:id="8"/>
    </w:p>
    <w:p>
      <w:pPr>
        <w:widowControl/>
        <w:tabs>
          <w:tab w:val="left" w:pos="794"/>
          <w:tab w:val="left" w:pos="2820"/>
        </w:tabs>
        <w:spacing w:line="360" w:lineRule="auto"/>
        <w:ind w:firstLine="480" w:firstLineChars="200"/>
        <w:rPr>
          <w:rFonts w:hint="eastAsia" w:ascii="微软雅黑" w:hAnsi="微软雅黑" w:eastAsia="微软雅黑" w:cs="微软雅黑"/>
          <w:highlight w:val="none"/>
          <w:lang w:val="en-US" w:eastAsia="zh-CN"/>
        </w:rPr>
      </w:pPr>
      <w:bookmarkStart w:id="9" w:name="_Toc195670628"/>
      <w:bookmarkStart w:id="10" w:name="_Toc510631431"/>
      <w:bookmarkStart w:id="11" w:name="_Toc510631218"/>
      <w:r>
        <w:rPr>
          <w:rFonts w:hint="eastAsia" w:ascii="微软雅黑" w:hAnsi="微软雅黑" w:eastAsia="微软雅黑" w:cs="微软雅黑"/>
          <w:highlight w:val="none"/>
        </w:rPr>
        <w:t>投标文件包括如下</w:t>
      </w:r>
      <w:r>
        <w:rPr>
          <w:rFonts w:hint="eastAsia" w:ascii="微软雅黑" w:hAnsi="微软雅黑" w:eastAsia="微软雅黑" w:cs="微软雅黑"/>
          <w:highlight w:val="none"/>
          <w:lang w:val="en-US" w:eastAsia="zh-CN"/>
        </w:rPr>
        <w:t>电子版或纸质</w:t>
      </w:r>
      <w:r>
        <w:rPr>
          <w:rFonts w:hint="eastAsia" w:ascii="微软雅黑" w:hAnsi="微软雅黑" w:eastAsia="微软雅黑" w:cs="微软雅黑"/>
          <w:highlight w:val="none"/>
        </w:rPr>
        <w:t>盖章件，其中</w:t>
      </w:r>
      <w:r>
        <w:rPr>
          <w:rFonts w:hint="eastAsia" w:ascii="微软雅黑" w:hAnsi="微软雅黑" w:eastAsia="微软雅黑" w:cs="微软雅黑"/>
          <w:highlight w:val="none"/>
          <w:lang w:val="en-US" w:eastAsia="zh-CN"/>
        </w:rPr>
        <w:t>公司简介、项目案例、法人授权书等材料邮件提供电子版，商务报价单需邮件提供Excel可编辑加密版本并线下提供签字盖章纸质版。</w:t>
      </w:r>
    </w:p>
    <w:p>
      <w:pPr>
        <w:widowControl/>
        <w:numPr>
          <w:ilvl w:val="0"/>
          <w:numId w:val="4"/>
        </w:numPr>
        <w:tabs>
          <w:tab w:val="left" w:pos="794"/>
          <w:tab w:val="left" w:pos="2820"/>
        </w:tabs>
        <w:spacing w:line="360" w:lineRule="auto"/>
        <w:ind w:firstLine="48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公司简介</w:t>
      </w:r>
    </w:p>
    <w:p>
      <w:pPr>
        <w:widowControl/>
        <w:numPr>
          <w:ilvl w:val="0"/>
          <w:numId w:val="4"/>
        </w:numPr>
        <w:tabs>
          <w:tab w:val="left" w:pos="794"/>
          <w:tab w:val="left" w:pos="2820"/>
        </w:tabs>
        <w:spacing w:line="360" w:lineRule="auto"/>
        <w:ind w:firstLine="480" w:firstLineChars="200"/>
        <w:rPr>
          <w:rFonts w:hint="default"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互联网机房调配服务项目案例</w:t>
      </w:r>
    </w:p>
    <w:p>
      <w:pPr>
        <w:widowControl/>
        <w:tabs>
          <w:tab w:val="left" w:pos="794"/>
          <w:tab w:val="left" w:pos="2820"/>
        </w:tabs>
        <w:spacing w:line="360" w:lineRule="auto"/>
        <w:ind w:firstLine="480"/>
        <w:rPr>
          <w:rFonts w:hint="eastAsia" w:ascii="微软雅黑" w:hAnsi="微软雅黑" w:eastAsia="微软雅黑" w:cs="微软雅黑"/>
          <w:highlight w:val="none"/>
        </w:rPr>
      </w:pPr>
      <w:r>
        <w:rPr>
          <w:rFonts w:hint="eastAsia" w:ascii="微软雅黑" w:hAnsi="微软雅黑" w:eastAsia="微软雅黑" w:cs="微软雅黑"/>
          <w:highlight w:val="none"/>
        </w:rPr>
        <w:t>（</w:t>
      </w:r>
      <w:r>
        <w:rPr>
          <w:rFonts w:hint="eastAsia" w:ascii="微软雅黑" w:hAnsi="微软雅黑" w:eastAsia="微软雅黑" w:cs="微软雅黑"/>
          <w:highlight w:val="none"/>
          <w:lang w:val="en-US" w:eastAsia="zh-CN"/>
        </w:rPr>
        <w:t>3</w:t>
      </w:r>
      <w:r>
        <w:rPr>
          <w:rFonts w:hint="eastAsia" w:ascii="微软雅黑" w:hAnsi="微软雅黑" w:eastAsia="微软雅黑" w:cs="微软雅黑"/>
          <w:highlight w:val="none"/>
        </w:rPr>
        <w:t>）法定代表人授权委托书（参见附件</w:t>
      </w:r>
      <w:r>
        <w:rPr>
          <w:rFonts w:hint="eastAsia" w:ascii="微软雅黑" w:hAnsi="微软雅黑" w:eastAsia="微软雅黑" w:cs="微软雅黑"/>
          <w:highlight w:val="none"/>
          <w:lang w:val="en-US" w:eastAsia="zh-CN"/>
        </w:rPr>
        <w:t>三</w:t>
      </w:r>
      <w:r>
        <w:rPr>
          <w:rFonts w:hint="eastAsia" w:ascii="微软雅黑" w:hAnsi="微软雅黑" w:eastAsia="微软雅黑" w:cs="微软雅黑"/>
          <w:highlight w:val="none"/>
        </w:rPr>
        <w:t>）；</w:t>
      </w:r>
    </w:p>
    <w:p>
      <w:pPr>
        <w:widowControl/>
        <w:tabs>
          <w:tab w:val="left" w:pos="794"/>
          <w:tab w:val="left" w:pos="2820"/>
        </w:tabs>
        <w:spacing w:line="360" w:lineRule="auto"/>
        <w:ind w:firstLine="480"/>
        <w:rPr>
          <w:rFonts w:hint="eastAsia" w:ascii="微软雅黑" w:hAnsi="微软雅黑" w:eastAsia="微软雅黑" w:cs="微软雅黑"/>
          <w:highlight w:val="none"/>
        </w:rPr>
      </w:pPr>
      <w:r>
        <w:rPr>
          <w:rFonts w:hint="eastAsia" w:ascii="微软雅黑" w:hAnsi="微软雅黑" w:eastAsia="微软雅黑" w:cs="微软雅黑"/>
          <w:highlight w:val="none"/>
        </w:rPr>
        <w:t>（</w:t>
      </w:r>
      <w:r>
        <w:rPr>
          <w:rFonts w:hint="eastAsia" w:ascii="微软雅黑" w:hAnsi="微软雅黑" w:eastAsia="微软雅黑" w:cs="微软雅黑"/>
          <w:highlight w:val="none"/>
          <w:lang w:val="en-US" w:eastAsia="zh-CN"/>
        </w:rPr>
        <w:t>4</w:t>
      </w:r>
      <w:r>
        <w:rPr>
          <w:rFonts w:hint="eastAsia" w:ascii="微软雅黑" w:hAnsi="微软雅黑" w:eastAsia="微软雅黑" w:cs="微软雅黑"/>
          <w:highlight w:val="none"/>
        </w:rPr>
        <w:t>）</w:t>
      </w:r>
      <w:r>
        <w:rPr>
          <w:rFonts w:hint="eastAsia" w:ascii="微软雅黑" w:hAnsi="微软雅黑" w:eastAsia="微软雅黑" w:cs="微软雅黑"/>
          <w:highlight w:val="none"/>
          <w:lang w:val="en-US" w:eastAsia="zh-CN"/>
        </w:rPr>
        <w:t>商务</w:t>
      </w:r>
      <w:r>
        <w:rPr>
          <w:rFonts w:hint="eastAsia" w:ascii="微软雅黑" w:hAnsi="微软雅黑" w:eastAsia="微软雅黑" w:cs="微软雅黑"/>
          <w:highlight w:val="none"/>
        </w:rPr>
        <w:t>报价单（参见附件</w:t>
      </w:r>
      <w:r>
        <w:rPr>
          <w:rFonts w:hint="eastAsia" w:ascii="微软雅黑" w:hAnsi="微软雅黑" w:eastAsia="微软雅黑" w:cs="微软雅黑"/>
          <w:highlight w:val="none"/>
          <w:lang w:val="en-US" w:eastAsia="zh-CN"/>
        </w:rPr>
        <w:t>四及附件五</w:t>
      </w:r>
      <w:r>
        <w:rPr>
          <w:rFonts w:hint="eastAsia" w:ascii="微软雅黑" w:hAnsi="微软雅黑" w:eastAsia="微软雅黑" w:cs="微软雅黑"/>
          <w:highlight w:val="none"/>
        </w:rPr>
        <w:t>）</w:t>
      </w:r>
    </w:p>
    <w:bookmarkEnd w:id="9"/>
    <w:bookmarkEnd w:id="10"/>
    <w:bookmarkEnd w:id="11"/>
    <w:p>
      <w:pPr>
        <w:pStyle w:val="3"/>
        <w:rPr>
          <w:rFonts w:hint="eastAsia" w:ascii="微软雅黑" w:hAnsi="微软雅黑" w:eastAsia="微软雅黑" w:cs="微软雅黑"/>
        </w:rPr>
      </w:pPr>
      <w:bookmarkStart w:id="12" w:name="_Toc41499231"/>
      <w:r>
        <w:rPr>
          <w:rFonts w:hint="eastAsia" w:ascii="微软雅黑" w:hAnsi="微软雅黑" w:eastAsia="微软雅黑" w:cs="微软雅黑"/>
          <w:highlight w:val="none"/>
        </w:rPr>
        <w:t>9、投标报价</w:t>
      </w:r>
      <w:bookmarkEnd w:id="12"/>
    </w:p>
    <w:p>
      <w:pPr>
        <w:pStyle w:val="42"/>
        <w:widowControl/>
        <w:spacing w:line="360" w:lineRule="auto"/>
        <w:ind w:firstLine="4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9.1 除非招标文件中另有规定，投标人所报的价格，应包含政策性文件规定及合同包含的所有风险、责任等各项应有费用。</w:t>
      </w:r>
    </w:p>
    <w:p>
      <w:pPr>
        <w:widowControl/>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9.2投标人应提供含税人民币报价。</w:t>
      </w:r>
    </w:p>
    <w:p>
      <w:pPr>
        <w:widowControl/>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9.3对于投标报价不全，应当提交的报价而未按招标文件要求提交的投标方，招标人有权视其为非响应性投标而予以废标。</w:t>
      </w:r>
    </w:p>
    <w:p>
      <w:pPr>
        <w:widowControl/>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9.4一项投标内容只允许一个报价，招标人不接受任何有选择性的投标报价。</w:t>
      </w:r>
    </w:p>
    <w:p>
      <w:pPr>
        <w:widowControl/>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9.5</w:t>
      </w:r>
      <w:r>
        <w:rPr>
          <w:rFonts w:hint="eastAsia" w:ascii="微软雅黑" w:hAnsi="微软雅黑" w:eastAsia="微软雅黑" w:cs="微软雅黑"/>
          <w:spacing w:val="2"/>
          <w:kern w:val="10"/>
          <w:position w:val="2"/>
        </w:rPr>
        <w:t>我们以商务标投标为最终投标，各投标方有义务确保投标模板计算方式和最终结果的准确性，一切因为投标的错误产生的差异和损失由投标方自行承担。</w:t>
      </w:r>
    </w:p>
    <w:p>
      <w:pPr>
        <w:pStyle w:val="3"/>
        <w:rPr>
          <w:rFonts w:hint="eastAsia" w:ascii="微软雅黑" w:hAnsi="微软雅黑" w:eastAsia="微软雅黑" w:cs="微软雅黑"/>
        </w:rPr>
      </w:pPr>
      <w:bookmarkStart w:id="13" w:name="_Toc41499232"/>
      <w:bookmarkStart w:id="14" w:name="_Toc510631254"/>
      <w:bookmarkStart w:id="15" w:name="_Toc195670663"/>
      <w:bookmarkStart w:id="16" w:name="_Toc510631467"/>
      <w:r>
        <w:rPr>
          <w:rFonts w:hint="eastAsia" w:ascii="微软雅黑" w:hAnsi="微软雅黑" w:eastAsia="微软雅黑" w:cs="微软雅黑"/>
        </w:rPr>
        <w:t>10、投标有效期</w:t>
      </w:r>
      <w:bookmarkEnd w:id="13"/>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投标应自《投标须知》中规定的开标日起90日内保持有效。投标有效期不足的投标将被视为非实质性响应，并予以拒绝</w:t>
      </w:r>
      <w:bookmarkEnd w:id="14"/>
      <w:bookmarkEnd w:id="15"/>
      <w:bookmarkEnd w:id="16"/>
      <w:bookmarkStart w:id="17" w:name="_Toc510631255"/>
      <w:bookmarkStart w:id="18" w:name="_Toc510631468"/>
      <w:bookmarkStart w:id="19" w:name="_Toc195670664"/>
      <w:r>
        <w:rPr>
          <w:rFonts w:hint="eastAsia" w:ascii="微软雅黑" w:hAnsi="微软雅黑" w:eastAsia="微软雅黑" w:cs="微软雅黑"/>
        </w:rPr>
        <w:t>。</w:t>
      </w:r>
    </w:p>
    <w:p>
      <w:pPr>
        <w:pStyle w:val="3"/>
        <w:rPr>
          <w:rFonts w:hint="eastAsia" w:ascii="微软雅黑" w:hAnsi="微软雅黑" w:eastAsia="微软雅黑" w:cs="微软雅黑"/>
        </w:rPr>
      </w:pPr>
      <w:bookmarkStart w:id="20" w:name="_Toc41499233"/>
      <w:r>
        <w:rPr>
          <w:rFonts w:hint="eastAsia" w:ascii="微软雅黑" w:hAnsi="微软雅黑" w:eastAsia="微软雅黑" w:cs="微软雅黑"/>
        </w:rPr>
        <w:t>11、投标截止期</w:t>
      </w:r>
      <w:bookmarkEnd w:id="20"/>
      <w:r>
        <w:rPr>
          <w:rFonts w:hint="eastAsia" w:ascii="微软雅黑" w:hAnsi="微软雅黑" w:eastAsia="微软雅黑" w:cs="微软雅黑"/>
        </w:rPr>
        <w:t>以及要求</w:t>
      </w:r>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11.</w:t>
      </w:r>
      <w:r>
        <w:rPr>
          <w:rFonts w:hint="eastAsia" w:ascii="微软雅黑" w:hAnsi="微软雅黑" w:eastAsia="微软雅黑" w:cs="微软雅黑"/>
          <w:lang w:val="en-US" w:eastAsia="zh-CN"/>
        </w:rPr>
        <w:t>1</w:t>
      </w:r>
      <w:r>
        <w:rPr>
          <w:rFonts w:hint="eastAsia" w:ascii="微软雅黑" w:hAnsi="微软雅黑" w:eastAsia="微软雅黑" w:cs="微软雅黑"/>
        </w:rPr>
        <w:t>招标人有权决定推迟投标截止期。在此情况下，招标人和投标人受投标截止期制约的所有权利和义务均应延长至新的截止期。</w:t>
      </w:r>
    </w:p>
    <w:p>
      <w:pPr>
        <w:pStyle w:val="14"/>
        <w:spacing w:before="0" w:beforeAutospacing="0" w:after="120" w:afterAutospacing="0" w:line="360" w:lineRule="auto"/>
        <w:ind w:firstLine="480" w:firstLineChars="200"/>
        <w:rPr>
          <w:rFonts w:hint="eastAsia" w:ascii="微软雅黑" w:hAnsi="微软雅黑" w:eastAsia="微软雅黑" w:cs="微软雅黑"/>
          <w:szCs w:val="24"/>
        </w:rPr>
      </w:pPr>
      <w:r>
        <w:rPr>
          <w:rFonts w:hint="eastAsia" w:ascii="微软雅黑" w:hAnsi="微软雅黑" w:eastAsia="微软雅黑" w:cs="微软雅黑"/>
          <w:szCs w:val="24"/>
        </w:rPr>
        <w:t>11.</w:t>
      </w:r>
      <w:r>
        <w:rPr>
          <w:rFonts w:hint="eastAsia" w:ascii="微软雅黑" w:hAnsi="微软雅黑" w:eastAsia="微软雅黑" w:cs="微软雅黑"/>
          <w:szCs w:val="24"/>
          <w:lang w:val="en-US" w:eastAsia="zh-CN"/>
        </w:rPr>
        <w:t>2</w:t>
      </w:r>
      <w:r>
        <w:rPr>
          <w:rFonts w:hint="eastAsia" w:ascii="微软雅黑" w:hAnsi="微软雅黑" w:eastAsia="微软雅黑" w:cs="微软雅黑"/>
          <w:szCs w:val="24"/>
        </w:rPr>
        <w:t>招标人拒绝接收本须知规定的截止期后收到的任何投标文件。</w:t>
      </w:r>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11.</w:t>
      </w:r>
      <w:r>
        <w:rPr>
          <w:rFonts w:hint="eastAsia" w:ascii="微软雅黑" w:hAnsi="微软雅黑" w:eastAsia="微软雅黑" w:cs="微软雅黑"/>
          <w:lang w:val="en-US" w:eastAsia="zh-CN"/>
        </w:rPr>
        <w:t>3</w:t>
      </w:r>
      <w:r>
        <w:rPr>
          <w:rFonts w:hint="eastAsia" w:ascii="微软雅黑" w:hAnsi="微软雅黑" w:eastAsia="微软雅黑" w:cs="微软雅黑"/>
        </w:rPr>
        <w:t>投标人在递交投标文件以后，在规定的投标截止时间之前，可以补充、修改或撤回已提交的投标文件，并通知招标人。补充、修改的内容为投标文件的组成部分。在投标截止时间以后，不得补充、修改投标文件。</w:t>
      </w:r>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11.</w:t>
      </w:r>
      <w:r>
        <w:rPr>
          <w:rFonts w:hint="eastAsia" w:ascii="微软雅黑" w:hAnsi="微软雅黑" w:eastAsia="微软雅黑" w:cs="微软雅黑"/>
          <w:lang w:val="en-US" w:eastAsia="zh-CN"/>
        </w:rPr>
        <w:t>4</w:t>
      </w:r>
      <w:r>
        <w:rPr>
          <w:rFonts w:hint="eastAsia" w:ascii="微软雅黑" w:hAnsi="微软雅黑" w:eastAsia="微软雅黑" w:cs="微软雅黑"/>
        </w:rPr>
        <w:t>投标截止期后，投标人不得撤回其投标。</w:t>
      </w:r>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11.</w:t>
      </w:r>
      <w:r>
        <w:rPr>
          <w:rFonts w:hint="eastAsia" w:ascii="微软雅黑" w:hAnsi="微软雅黑" w:eastAsia="微软雅黑" w:cs="微软雅黑"/>
          <w:lang w:val="en-US" w:eastAsia="zh-CN"/>
        </w:rPr>
        <w:t>5</w:t>
      </w:r>
      <w:r>
        <w:rPr>
          <w:rFonts w:hint="eastAsia" w:ascii="微软雅黑" w:hAnsi="微软雅黑" w:eastAsia="微软雅黑" w:cs="微软雅黑"/>
        </w:rPr>
        <w:t>投标要求：</w:t>
      </w:r>
    </w:p>
    <w:p>
      <w:pPr>
        <w:pStyle w:val="21"/>
        <w:numPr>
          <w:ilvl w:val="0"/>
          <w:numId w:val="0"/>
        </w:numPr>
        <w:spacing w:line="360" w:lineRule="auto"/>
        <w:ind w:left="420" w:leftChars="0" w:firstLine="210" w:firstLineChars="100"/>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11.6.1 参标资料电子版（公司简介、项目案例、法人授权书等材料）及商务报价单Excel加密版本请于2024年1月5日下午14点前</w:t>
      </w:r>
      <w:r>
        <w:rPr>
          <w:rFonts w:hint="eastAsia" w:ascii="微软雅黑" w:hAnsi="微软雅黑" w:eastAsia="微软雅黑" w:cs="微软雅黑"/>
          <w:kern w:val="2"/>
          <w:sz w:val="21"/>
          <w:szCs w:val="21"/>
          <w:lang w:val="en-US" w:eastAsia="zh-TW" w:bidi="ar-SA"/>
        </w:rPr>
        <w:t>邮件</w:t>
      </w:r>
      <w:r>
        <w:rPr>
          <w:rFonts w:hint="eastAsia" w:ascii="微软雅黑" w:hAnsi="微软雅黑" w:eastAsia="微软雅黑" w:cs="微软雅黑"/>
          <w:kern w:val="2"/>
          <w:sz w:val="21"/>
          <w:szCs w:val="21"/>
          <w:lang w:val="en-US" w:eastAsia="zh-CN" w:bidi="ar-SA"/>
        </w:rPr>
        <w:t>发送</w:t>
      </w:r>
      <w:r>
        <w:rPr>
          <w:rFonts w:hint="eastAsia" w:ascii="微软雅黑" w:hAnsi="微软雅黑" w:eastAsia="微软雅黑" w:cs="微软雅黑"/>
          <w:kern w:val="2"/>
          <w:sz w:val="21"/>
          <w:szCs w:val="21"/>
          <w:lang w:val="en-US" w:eastAsia="zh-TW" w:bidi="ar-SA"/>
        </w:rPr>
        <w:t>至</w:t>
      </w:r>
      <w:r>
        <w:rPr>
          <w:rFonts w:hint="eastAsia" w:ascii="微软雅黑" w:hAnsi="微软雅黑" w:eastAsia="微软雅黑" w:cs="微软雅黑"/>
          <w:kern w:val="2"/>
          <w:sz w:val="21"/>
          <w:szCs w:val="21"/>
          <w:lang w:val="en-US" w:eastAsia="zh-CN" w:bidi="ar-SA"/>
        </w:rPr>
        <w:t>KSCTBP-lg@kingsoft.com，商务报价单密码请于2024年1月5日下午14点-15点邮件发送至上述邮箱，密码需包含英文大小写及数字，长度不小于8个字符。</w:t>
      </w:r>
    </w:p>
    <w:p>
      <w:pPr>
        <w:pStyle w:val="21"/>
        <w:numPr>
          <w:ilvl w:val="0"/>
          <w:numId w:val="0"/>
        </w:numPr>
        <w:spacing w:line="360" w:lineRule="auto"/>
        <w:ind w:left="420" w:leftChars="0" w:firstLine="210" w:firstLineChars="100"/>
        <w:rPr>
          <w:rFonts w:hint="default" w:ascii="微软雅黑" w:hAnsi="微软雅黑" w:eastAsia="微软雅黑" w:cs="微软雅黑"/>
          <w:kern w:val="2"/>
          <w:sz w:val="21"/>
          <w:szCs w:val="21"/>
          <w:u w:val="single"/>
          <w:lang w:val="en-US" w:eastAsia="zh-CN" w:bidi="ar-SA"/>
        </w:rPr>
      </w:pPr>
      <w:r>
        <w:rPr>
          <w:rFonts w:hint="eastAsia" w:ascii="微软雅黑" w:hAnsi="微软雅黑" w:eastAsia="微软雅黑" w:cs="微软雅黑"/>
          <w:kern w:val="2"/>
          <w:sz w:val="21"/>
          <w:szCs w:val="21"/>
          <w:lang w:val="en-US" w:eastAsia="zh-CN" w:bidi="ar-SA"/>
        </w:rPr>
        <w:t xml:space="preserve">11.6.2 </w:t>
      </w:r>
      <w:r>
        <w:rPr>
          <w:rFonts w:hint="eastAsia" w:ascii="微软雅黑" w:hAnsi="微软雅黑" w:eastAsia="微软雅黑" w:cs="微软雅黑"/>
          <w:kern w:val="2"/>
          <w:sz w:val="21"/>
          <w:szCs w:val="21"/>
          <w:lang w:val="en-US" w:eastAsia="zh-TW" w:bidi="ar-SA"/>
        </w:rPr>
        <w:t>报价</w:t>
      </w:r>
      <w:r>
        <w:rPr>
          <w:rFonts w:hint="eastAsia" w:ascii="微软雅黑" w:hAnsi="微软雅黑" w:eastAsia="微软雅黑" w:cs="微软雅黑"/>
          <w:kern w:val="2"/>
          <w:sz w:val="21"/>
          <w:szCs w:val="21"/>
          <w:lang w:val="en-US" w:eastAsia="zh-CN" w:bidi="ar-SA"/>
        </w:rPr>
        <w:t>单纸质盖章版</w:t>
      </w:r>
      <w:r>
        <w:rPr>
          <w:rFonts w:hint="eastAsia" w:ascii="微软雅黑" w:hAnsi="微软雅黑" w:eastAsia="微软雅黑" w:cs="微软雅黑"/>
          <w:kern w:val="2"/>
          <w:sz w:val="21"/>
          <w:szCs w:val="21"/>
          <w:lang w:val="en-US" w:eastAsia="zh-TW" w:bidi="ar-SA"/>
        </w:rPr>
        <w:t>请在202</w:t>
      </w:r>
      <w:r>
        <w:rPr>
          <w:rFonts w:hint="eastAsia" w:ascii="微软雅黑" w:hAnsi="微软雅黑" w:eastAsia="微软雅黑" w:cs="微软雅黑"/>
          <w:kern w:val="2"/>
          <w:sz w:val="21"/>
          <w:szCs w:val="21"/>
          <w:lang w:val="en-US" w:eastAsia="zh-CN" w:bidi="ar-SA"/>
        </w:rPr>
        <w:t>4年1月5</w:t>
      </w:r>
      <w:r>
        <w:rPr>
          <w:rFonts w:hint="eastAsia" w:ascii="微软雅黑" w:hAnsi="微软雅黑" w:eastAsia="微软雅黑" w:cs="微软雅黑"/>
          <w:kern w:val="2"/>
          <w:sz w:val="21"/>
          <w:szCs w:val="21"/>
          <w:lang w:val="en-US" w:eastAsia="zh-TW" w:bidi="ar-SA"/>
        </w:rPr>
        <w:t>日下午</w:t>
      </w:r>
      <w:r>
        <w:rPr>
          <w:rFonts w:hint="eastAsia" w:ascii="微软雅黑" w:hAnsi="微软雅黑" w:eastAsia="微软雅黑" w:cs="微软雅黑"/>
          <w:kern w:val="2"/>
          <w:sz w:val="21"/>
          <w:szCs w:val="21"/>
          <w:lang w:val="en-US" w:eastAsia="zh-CN" w:bidi="ar-SA"/>
        </w:rPr>
        <w:t>14</w:t>
      </w:r>
      <w:r>
        <w:rPr>
          <w:rFonts w:hint="eastAsia" w:ascii="微软雅黑" w:hAnsi="微软雅黑" w:eastAsia="微软雅黑" w:cs="微软雅黑"/>
          <w:kern w:val="2"/>
          <w:sz w:val="21"/>
          <w:szCs w:val="21"/>
          <w:lang w:val="en-US" w:eastAsia="zh-TW" w:bidi="ar-SA"/>
        </w:rPr>
        <w:t>点</w:t>
      </w:r>
      <w:r>
        <w:rPr>
          <w:rFonts w:hint="eastAsia" w:ascii="微软雅黑" w:hAnsi="微软雅黑" w:eastAsia="微软雅黑" w:cs="微软雅黑"/>
          <w:kern w:val="2"/>
          <w:sz w:val="21"/>
          <w:szCs w:val="21"/>
          <w:lang w:val="en-US" w:eastAsia="zh-CN" w:bidi="ar-SA"/>
        </w:rPr>
        <w:t>前由投标方指定人员或委托快递提交至金山云指定地点：</w:t>
      </w:r>
      <w:r>
        <w:rPr>
          <w:rFonts w:hint="eastAsia" w:ascii="微软雅黑" w:hAnsi="微软雅黑" w:eastAsia="微软雅黑" w:cs="微软雅黑"/>
          <w:kern w:val="2"/>
          <w:sz w:val="21"/>
          <w:szCs w:val="21"/>
          <w:u w:val="single"/>
          <w:lang w:val="en-US" w:eastAsia="zh-CN" w:bidi="ar-SA"/>
        </w:rPr>
        <w:t>北京市海淀区安宁庄路小米科技园D栋10层  高晗 15031636671</w:t>
      </w:r>
    </w:p>
    <w:p>
      <w:pPr>
        <w:pStyle w:val="21"/>
        <w:numPr>
          <w:ilvl w:val="0"/>
          <w:numId w:val="0"/>
        </w:numPr>
        <w:spacing w:line="360" w:lineRule="auto"/>
        <w:ind w:left="420" w:leftChars="0" w:firstLine="210" w:firstLineChars="100"/>
        <w:rPr>
          <w:rFonts w:hint="eastAsia" w:ascii="微软雅黑" w:hAnsi="微软雅黑" w:eastAsia="微软雅黑" w:cs="微软雅黑"/>
          <w:kern w:val="2"/>
          <w:sz w:val="21"/>
          <w:szCs w:val="21"/>
          <w:lang w:val="en-US" w:eastAsia="zh-TW" w:bidi="ar-SA"/>
        </w:rPr>
      </w:pPr>
      <w:r>
        <w:rPr>
          <w:rFonts w:hint="eastAsia" w:ascii="微软雅黑" w:hAnsi="微软雅黑" w:eastAsia="微软雅黑" w:cs="微软雅黑"/>
          <w:kern w:val="2"/>
          <w:sz w:val="21"/>
          <w:szCs w:val="21"/>
          <w:lang w:val="en-US" w:eastAsia="zh-CN" w:bidi="ar-SA"/>
        </w:rPr>
        <w:t xml:space="preserve">11.6.3 </w:t>
      </w:r>
      <w:r>
        <w:rPr>
          <w:rFonts w:hint="eastAsia" w:ascii="微软雅黑" w:hAnsi="微软雅黑" w:eastAsia="微软雅黑" w:cs="微软雅黑"/>
          <w:kern w:val="2"/>
          <w:sz w:val="21"/>
          <w:szCs w:val="21"/>
          <w:lang w:val="en-US" w:eastAsia="zh-TW" w:bidi="ar-SA"/>
        </w:rPr>
        <w:t>未按照上述时间点提交应标文件及</w:t>
      </w:r>
      <w:r>
        <w:rPr>
          <w:rFonts w:hint="eastAsia" w:ascii="微软雅黑" w:hAnsi="微软雅黑" w:eastAsia="微软雅黑" w:cs="微软雅黑"/>
          <w:kern w:val="2"/>
          <w:sz w:val="21"/>
          <w:szCs w:val="21"/>
          <w:lang w:val="en-US" w:eastAsia="zh-CN" w:bidi="ar-SA"/>
        </w:rPr>
        <w:t>报价</w:t>
      </w:r>
      <w:r>
        <w:rPr>
          <w:rFonts w:hint="eastAsia" w:ascii="微软雅黑" w:hAnsi="微软雅黑" w:eastAsia="微软雅黑" w:cs="微软雅黑"/>
          <w:kern w:val="2"/>
          <w:sz w:val="21"/>
          <w:szCs w:val="21"/>
          <w:lang w:val="en-US" w:eastAsia="zh-TW" w:bidi="ar-SA"/>
        </w:rPr>
        <w:t>的供应商视为放弃本项目；</w:t>
      </w:r>
    </w:p>
    <w:p>
      <w:pPr>
        <w:pStyle w:val="21"/>
        <w:numPr>
          <w:ilvl w:val="0"/>
          <w:numId w:val="0"/>
        </w:numPr>
        <w:spacing w:line="360" w:lineRule="auto"/>
        <w:ind w:left="420" w:leftChars="0" w:firstLine="210" w:firstLineChars="100"/>
        <w:rPr>
          <w:rFonts w:hint="eastAsia" w:ascii="微软雅黑" w:hAnsi="微软雅黑" w:eastAsia="微软雅黑" w:cs="微软雅黑"/>
          <w:kern w:val="2"/>
          <w:sz w:val="21"/>
          <w:szCs w:val="21"/>
          <w:lang w:val="en-US" w:eastAsia="zh-TW" w:bidi="ar-SA"/>
        </w:rPr>
      </w:pPr>
      <w:r>
        <w:rPr>
          <w:rFonts w:hint="eastAsia" w:ascii="微软雅黑" w:hAnsi="微软雅黑" w:eastAsia="微软雅黑" w:cs="微软雅黑"/>
          <w:kern w:val="2"/>
          <w:sz w:val="21"/>
          <w:szCs w:val="21"/>
          <w:lang w:val="en-US" w:eastAsia="zh-CN" w:bidi="ar-SA"/>
        </w:rPr>
        <w:t xml:space="preserve">11.6.4 </w:t>
      </w:r>
      <w:r>
        <w:rPr>
          <w:rFonts w:hint="eastAsia" w:ascii="微软雅黑" w:hAnsi="微软雅黑" w:eastAsia="微软雅黑" w:cs="微软雅黑"/>
          <w:kern w:val="2"/>
          <w:sz w:val="21"/>
          <w:szCs w:val="21"/>
          <w:lang w:val="en-US" w:eastAsia="zh-TW" w:bidi="ar-SA"/>
        </w:rPr>
        <w:t>应标即表示供应商接受标书相关要求，一旦中标不可私自更改，否则取消一个周期的供应商入围资格；</w:t>
      </w:r>
    </w:p>
    <w:p>
      <w:pPr>
        <w:pStyle w:val="3"/>
        <w:rPr>
          <w:rFonts w:hint="eastAsia" w:ascii="微软雅黑" w:hAnsi="微软雅黑" w:eastAsia="微软雅黑" w:cs="微软雅黑"/>
        </w:rPr>
      </w:pPr>
      <w:bookmarkStart w:id="21" w:name="_Toc41499234"/>
      <w:bookmarkStart w:id="22" w:name="_Toc510579321"/>
      <w:bookmarkStart w:id="23" w:name="_Toc195670686"/>
      <w:r>
        <w:rPr>
          <w:rFonts w:hint="eastAsia" w:ascii="微软雅黑" w:hAnsi="微软雅黑" w:eastAsia="微软雅黑" w:cs="微软雅黑"/>
        </w:rPr>
        <w:t>12、开标与评标</w:t>
      </w:r>
      <w:bookmarkEnd w:id="21"/>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12.</w:t>
      </w:r>
      <w:r>
        <w:rPr>
          <w:rFonts w:hint="eastAsia" w:ascii="微软雅黑" w:hAnsi="微软雅黑" w:eastAsia="微软雅黑" w:cs="微软雅黑"/>
          <w:lang w:val="en-US" w:eastAsia="zh-CN"/>
        </w:rPr>
        <w:t>1</w:t>
      </w:r>
      <w:r>
        <w:rPr>
          <w:rFonts w:hint="eastAsia" w:ascii="微软雅黑" w:hAnsi="微软雅黑" w:eastAsia="微软雅黑" w:cs="微软雅黑"/>
        </w:rPr>
        <w:t>开标由招标人组织评审委员会进行，对应答文件进行审查、质疑、评估和比较。</w:t>
      </w:r>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12.</w:t>
      </w:r>
      <w:r>
        <w:rPr>
          <w:rFonts w:hint="eastAsia" w:ascii="微软雅黑" w:hAnsi="微软雅黑" w:eastAsia="微软雅黑" w:cs="微软雅黑"/>
          <w:lang w:val="en-US" w:eastAsia="zh-CN"/>
        </w:rPr>
        <w:t>2</w:t>
      </w:r>
      <w:r>
        <w:rPr>
          <w:rFonts w:hint="eastAsia" w:ascii="微软雅黑" w:hAnsi="微软雅黑" w:eastAsia="微软雅黑" w:cs="微软雅黑"/>
        </w:rPr>
        <w:t>投标文件未加盖公章的，招标人将不予受理：</w:t>
      </w:r>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12.</w:t>
      </w:r>
      <w:r>
        <w:rPr>
          <w:rFonts w:hint="eastAsia" w:ascii="微软雅黑" w:hAnsi="微软雅黑" w:eastAsia="微软雅黑" w:cs="微软雅黑"/>
          <w:lang w:val="en-US" w:eastAsia="zh-CN"/>
        </w:rPr>
        <w:t>3</w:t>
      </w:r>
      <w:r>
        <w:rPr>
          <w:rFonts w:hint="eastAsia" w:ascii="微软雅黑" w:hAnsi="微软雅黑" w:eastAsia="微软雅黑" w:cs="微软雅黑"/>
        </w:rPr>
        <w:t>是否需要现场讲标：</w:t>
      </w:r>
      <w:r>
        <w:rPr>
          <w:rFonts w:hint="eastAsia" w:ascii="微软雅黑" w:hAnsi="微软雅黑" w:eastAsia="微软雅黑" w:cs="微软雅黑"/>
          <w:lang w:eastAsia="zh-CN"/>
        </w:rPr>
        <w:t>☑</w:t>
      </w:r>
      <w:r>
        <w:rPr>
          <w:rFonts w:hint="eastAsia" w:ascii="微软雅黑" w:hAnsi="微软雅黑" w:eastAsia="微软雅黑" w:cs="微软雅黑"/>
        </w:rPr>
        <w:t>是</w:t>
      </w:r>
      <w:r>
        <w:rPr>
          <w:rFonts w:hint="eastAsia" w:ascii="微软雅黑" w:hAnsi="微软雅黑" w:eastAsia="微软雅黑" w:cs="微软雅黑"/>
          <w:lang w:eastAsia="zh-CN"/>
        </w:rPr>
        <w:t>□</w:t>
      </w:r>
      <w:r>
        <w:rPr>
          <w:rFonts w:hint="eastAsia" w:ascii="微软雅黑" w:hAnsi="微软雅黑" w:eastAsia="微软雅黑" w:cs="微软雅黑"/>
        </w:rPr>
        <w:t>否。</w:t>
      </w:r>
    </w:p>
    <w:bookmarkEnd w:id="22"/>
    <w:bookmarkEnd w:id="23"/>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12.</w:t>
      </w:r>
      <w:r>
        <w:rPr>
          <w:rFonts w:hint="eastAsia" w:ascii="微软雅黑" w:hAnsi="微软雅黑" w:eastAsia="微软雅黑" w:cs="微软雅黑"/>
          <w:lang w:val="en-US" w:eastAsia="zh-CN"/>
        </w:rPr>
        <w:t>4</w:t>
      </w:r>
      <w:r>
        <w:rPr>
          <w:rFonts w:hint="eastAsia" w:ascii="微软雅黑" w:hAnsi="微软雅黑" w:eastAsia="微软雅黑" w:cs="微软雅黑"/>
        </w:rPr>
        <w:t>评审方法采取成本评标法，</w:t>
      </w:r>
    </w:p>
    <w:p>
      <w:pPr>
        <w:pStyle w:val="3"/>
        <w:rPr>
          <w:rFonts w:hint="eastAsia" w:ascii="微软雅黑" w:hAnsi="微软雅黑" w:eastAsia="微软雅黑" w:cs="微软雅黑"/>
        </w:rPr>
      </w:pPr>
      <w:bookmarkStart w:id="24" w:name="_Toc150670621"/>
      <w:bookmarkEnd w:id="24"/>
      <w:bookmarkStart w:id="25" w:name="_Toc150681647"/>
      <w:bookmarkEnd w:id="25"/>
      <w:bookmarkStart w:id="26" w:name="_Toc150746767"/>
      <w:bookmarkEnd w:id="26"/>
      <w:bookmarkStart w:id="27" w:name="_Toc41499235"/>
      <w:bookmarkStart w:id="28" w:name="_Toc510631517"/>
      <w:bookmarkStart w:id="29" w:name="_Toc510631304"/>
      <w:bookmarkStart w:id="30" w:name="_Toc195670713"/>
      <w:r>
        <w:rPr>
          <w:rFonts w:hint="eastAsia" w:ascii="微软雅黑" w:hAnsi="微软雅黑" w:eastAsia="微软雅黑" w:cs="微软雅黑"/>
        </w:rPr>
        <w:t>13、与招标人的接触</w:t>
      </w:r>
      <w:bookmarkEnd w:id="27"/>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13.1未经招标人允许，从开标之日起至授予合同期间，投标人不得就与其投标有关的事项与招标人和评审委员接触。</w:t>
      </w:r>
      <w:bookmarkEnd w:id="28"/>
      <w:bookmarkEnd w:id="29"/>
      <w:bookmarkEnd w:id="30"/>
      <w:bookmarkStart w:id="31" w:name="_Toc510631518"/>
      <w:bookmarkStart w:id="32" w:name="_Toc195670714"/>
      <w:bookmarkStart w:id="33" w:name="_Toc510631305"/>
    </w:p>
    <w:p>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13.2投标人试图对招标人和评标小组的评标或授予合同的决定进行影响，都可能导致其投标被废标处理。</w:t>
      </w:r>
      <w:bookmarkEnd w:id="31"/>
      <w:bookmarkEnd w:id="32"/>
      <w:bookmarkEnd w:id="33"/>
    </w:p>
    <w:p>
      <w:pPr>
        <w:pStyle w:val="3"/>
        <w:rPr>
          <w:rFonts w:hint="eastAsia" w:ascii="微软雅黑" w:hAnsi="微软雅黑" w:eastAsia="微软雅黑" w:cs="微软雅黑"/>
        </w:rPr>
      </w:pPr>
      <w:bookmarkStart w:id="34" w:name="_Toc41499236"/>
      <w:r>
        <w:rPr>
          <w:rFonts w:hint="eastAsia" w:ascii="微软雅黑" w:hAnsi="微软雅黑" w:eastAsia="微软雅黑" w:cs="微软雅黑"/>
        </w:rPr>
        <w:t>14、中选通知</w:t>
      </w:r>
      <w:bookmarkEnd w:id="34"/>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14.1根据评标结果，招标人将通过供应商门户系统或邮件向中标方发出中标通知书，对未中标方发出未中标通知书。</w:t>
      </w:r>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14.2一旦中标方收到招标人的中标通知书，即代表招标人与中标方之间已构成具有法律效力的合同约束关系。</w:t>
      </w:r>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14.3中标方应在接受通知后3个工作日内与招标人签署合同并确保按合同中的规定履行合同义务，双方权利义务的确定以最终签署的合同为准。如中标方未能够在此时间内与招标人签署合同并展开实质性的工作，招标人有权单方面撤销中标通知书。“招标文件”、中标方的 “投标文件及其澄清文件”等，均为签订合同的依据。</w:t>
      </w:r>
    </w:p>
    <w:p>
      <w:pPr>
        <w:tabs>
          <w:tab w:val="left" w:pos="624"/>
        </w:tabs>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rPr>
        <w:t>15.4中标方应对全部中选商品的完整性和兼容性负全部责任，招标人将不对中标方在招标人签发中选通知后任何中标方遗漏问题负责。</w:t>
      </w:r>
    </w:p>
    <w:p>
      <w:pPr>
        <w:pStyle w:val="3"/>
        <w:rPr>
          <w:rFonts w:hint="eastAsia" w:ascii="微软雅黑" w:hAnsi="微软雅黑" w:eastAsia="微软雅黑" w:cs="微软雅黑"/>
        </w:rPr>
      </w:pPr>
      <w:bookmarkStart w:id="35" w:name="_Toc41499237"/>
      <w:r>
        <w:rPr>
          <w:rFonts w:hint="eastAsia" w:ascii="微软雅黑" w:hAnsi="微软雅黑" w:eastAsia="微软雅黑" w:cs="微软雅黑"/>
        </w:rPr>
        <w:t>15、费用</w:t>
      </w:r>
      <w:bookmarkEnd w:id="35"/>
    </w:p>
    <w:p>
      <w:pPr>
        <w:tabs>
          <w:tab w:val="left" w:pos="624"/>
        </w:tabs>
        <w:spacing w:line="360" w:lineRule="auto"/>
        <w:ind w:firstLine="488" w:firstLineChars="200"/>
        <w:rPr>
          <w:rFonts w:hint="eastAsia" w:ascii="微软雅黑" w:hAnsi="微软雅黑" w:eastAsia="微软雅黑" w:cs="微软雅黑"/>
          <w:spacing w:val="2"/>
          <w:kern w:val="10"/>
          <w:position w:val="2"/>
        </w:rPr>
      </w:pPr>
      <w:r>
        <w:rPr>
          <w:rFonts w:hint="eastAsia" w:ascii="微软雅黑" w:hAnsi="微软雅黑" w:eastAsia="微软雅黑" w:cs="微软雅黑"/>
          <w:spacing w:val="2"/>
          <w:kern w:val="10"/>
          <w:position w:val="2"/>
        </w:rPr>
        <w:t>投标人应自行承担投标过程中所发生的全部费用，招标人将不承担投标人在投标文件准备过程中所发生的任何费用。</w:t>
      </w:r>
    </w:p>
    <w:bookmarkEnd w:id="17"/>
    <w:bookmarkEnd w:id="18"/>
    <w:bookmarkEnd w:id="19"/>
    <w:p>
      <w:pPr>
        <w:pStyle w:val="3"/>
        <w:rPr>
          <w:rFonts w:hint="eastAsia" w:ascii="微软雅黑" w:hAnsi="微软雅黑" w:eastAsia="微软雅黑" w:cs="微软雅黑"/>
        </w:rPr>
      </w:pPr>
      <w:bookmarkStart w:id="36" w:name="_Toc41499238"/>
      <w:bookmarkStart w:id="37" w:name="_Toc49754073"/>
      <w:bookmarkStart w:id="38" w:name="_Toc279157474"/>
      <w:bookmarkStart w:id="39" w:name="_Toc54110257"/>
      <w:bookmarkStart w:id="40" w:name="_Toc279156458"/>
      <w:bookmarkStart w:id="41" w:name="_Toc279142767"/>
      <w:bookmarkStart w:id="42" w:name="_Toc49849197"/>
      <w:bookmarkStart w:id="43" w:name="_Toc279156740"/>
      <w:bookmarkStart w:id="44" w:name="_Toc280213909"/>
      <w:bookmarkStart w:id="45" w:name="_Toc279157158"/>
      <w:bookmarkStart w:id="46" w:name="_Toc23395"/>
      <w:bookmarkStart w:id="47" w:name="_Toc54582745"/>
      <w:r>
        <w:rPr>
          <w:rFonts w:hint="eastAsia" w:ascii="微软雅黑" w:hAnsi="微软雅黑" w:eastAsia="微软雅黑" w:cs="微软雅黑"/>
        </w:rPr>
        <w:t>16、废标</w:t>
      </w:r>
      <w:bookmarkEnd w:id="36"/>
    </w:p>
    <w:tbl>
      <w:tblPr>
        <w:tblStyle w:val="15"/>
        <w:tblW w:w="950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
        <w:gridCol w:w="1233"/>
        <w:gridCol w:w="77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tblHeader/>
          <w:jc w:val="center"/>
        </w:trPr>
        <w:tc>
          <w:tcPr>
            <w:tcW w:w="574" w:type="dxa"/>
            <w:tcBorders>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000000"/>
                <w:kern w:val="0"/>
                <w:sz w:val="18"/>
                <w:szCs w:val="18"/>
              </w:rPr>
            </w:pPr>
            <w:r>
              <w:rPr>
                <w:rFonts w:hint="eastAsia" w:ascii="微软雅黑" w:hAnsi="微软雅黑" w:eastAsia="微软雅黑" w:cs="微软雅黑"/>
                <w:b/>
                <w:color w:val="000000"/>
                <w:kern w:val="0"/>
                <w:sz w:val="18"/>
                <w:szCs w:val="18"/>
              </w:rPr>
              <w:t>项次</w:t>
            </w:r>
          </w:p>
        </w:tc>
        <w:tc>
          <w:tcPr>
            <w:tcW w:w="1233" w:type="dxa"/>
            <w:tcBorders>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000000"/>
                <w:kern w:val="0"/>
                <w:sz w:val="18"/>
                <w:szCs w:val="18"/>
              </w:rPr>
            </w:pPr>
            <w:r>
              <w:rPr>
                <w:rFonts w:hint="eastAsia" w:ascii="微软雅黑" w:hAnsi="微软雅黑" w:eastAsia="微软雅黑" w:cs="微软雅黑"/>
                <w:b/>
                <w:color w:val="000000"/>
                <w:kern w:val="0"/>
                <w:sz w:val="18"/>
                <w:szCs w:val="18"/>
              </w:rPr>
              <w:t>关键词</w:t>
            </w:r>
          </w:p>
        </w:tc>
        <w:tc>
          <w:tcPr>
            <w:tcW w:w="7700"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rPr>
              <w:t>废标之情况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751" w:hRule="atLeast"/>
          <w:jc w:val="center"/>
        </w:trPr>
        <w:tc>
          <w:tcPr>
            <w:tcW w:w="574" w:type="dxa"/>
            <w:vMerge w:val="restart"/>
            <w:tcBorders>
              <w:top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1233" w:type="dxa"/>
            <w:vMerge w:val="restart"/>
            <w:tcBorders>
              <w:top w:val="single" w:color="000000" w:sz="4" w:space="0"/>
              <w:left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签字盖章</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1.1投标文件未加盖投标人的企业及企业法定代表人印章的；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574" w:type="dxa"/>
            <w:vMerge w:val="continue"/>
            <w:tcBorders>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p>
        </w:tc>
        <w:tc>
          <w:tcPr>
            <w:tcW w:w="1233" w:type="dxa"/>
            <w:vMerge w:val="continue"/>
            <w:tcBorders>
              <w:left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1.2未依规定携带合法有效之委托书及被委托代理人身份证的；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1233"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字迹</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投标文件的关键内容字迹模糊、无法辨认的；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574" w:type="dxa"/>
            <w:tcBorders>
              <w:top w:val="single" w:color="000000" w:sz="4" w:space="0"/>
              <w:bottom w:val="single" w:color="000000" w:sz="4" w:space="0"/>
              <w:right w:val="single" w:color="auto" w:sz="4" w:space="0"/>
            </w:tcBorders>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1233"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时间</w:t>
            </w:r>
          </w:p>
        </w:tc>
        <w:tc>
          <w:tcPr>
            <w:tcW w:w="7700" w:type="dxa"/>
            <w:tcBorders>
              <w:top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投标人逾期送达投标文件；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050" w:hRule="atLeast"/>
          <w:jc w:val="center"/>
        </w:trPr>
        <w:tc>
          <w:tcPr>
            <w:tcW w:w="574"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1233"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资质变动</w:t>
            </w:r>
          </w:p>
        </w:tc>
        <w:tc>
          <w:tcPr>
            <w:tcW w:w="7700"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投标人发生合并、分立、破产等重大变化的，应当及时书面告知招标人。投标人不再具备资格预审文件、招标文件规定的资格条件或者其投标影响招标公正性的，其投标无效。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1233"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资格</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投标人不符合国家或者</w:t>
            </w:r>
            <w:r>
              <w:rPr>
                <w:rFonts w:hint="eastAsia" w:ascii="微软雅黑" w:hAnsi="微软雅黑" w:eastAsia="微软雅黑" w:cs="微软雅黑"/>
                <w:bCs/>
                <w:color w:val="000000"/>
                <w:kern w:val="0"/>
                <w:sz w:val="18"/>
                <w:szCs w:val="18"/>
              </w:rPr>
              <w:t>招标文件</w:t>
            </w:r>
            <w:r>
              <w:rPr>
                <w:rFonts w:hint="eastAsia" w:ascii="微软雅黑" w:hAnsi="微软雅黑" w:eastAsia="微软雅黑" w:cs="微软雅黑"/>
                <w:color w:val="000000"/>
                <w:kern w:val="0"/>
                <w:sz w:val="18"/>
                <w:szCs w:val="18"/>
              </w:rPr>
              <w:t>规定的资格条件；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74" w:type="dxa"/>
            <w:tcBorders>
              <w:top w:val="single" w:color="000000"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1233" w:type="dxa"/>
            <w:vMerge w:val="restart"/>
            <w:tcBorders>
              <w:top w:val="single" w:color="000000" w:sz="4" w:space="0"/>
              <w:left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投标</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同一投标人提交两个以上不同的投标文件或者投标投标，但招标文件要求提交备选投标的除外；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574"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1233" w:type="dxa"/>
            <w:vMerge w:val="continue"/>
            <w:tcBorders>
              <w:left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投标投标高于招标文件设定的最高投标限价；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1233" w:type="dxa"/>
            <w:tcBorders>
              <w:top w:val="single" w:color="000000" w:sz="4" w:space="0"/>
              <w:left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招标文件</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由评标人判断投标文件没有对</w:t>
            </w:r>
            <w:r>
              <w:rPr>
                <w:rFonts w:hint="eastAsia" w:ascii="微软雅黑" w:hAnsi="微软雅黑" w:eastAsia="微软雅黑" w:cs="微软雅黑"/>
                <w:bCs/>
                <w:color w:val="000000"/>
                <w:kern w:val="0"/>
                <w:sz w:val="18"/>
                <w:szCs w:val="18"/>
              </w:rPr>
              <w:t>招标文件</w:t>
            </w:r>
            <w:r>
              <w:rPr>
                <w:rFonts w:hint="eastAsia" w:ascii="微软雅黑" w:hAnsi="微软雅黑" w:eastAsia="微软雅黑" w:cs="微软雅黑"/>
                <w:color w:val="000000"/>
                <w:kern w:val="0"/>
                <w:sz w:val="18"/>
                <w:szCs w:val="18"/>
              </w:rPr>
              <w:t>的</w:t>
            </w:r>
            <w:r>
              <w:rPr>
                <w:rFonts w:hint="eastAsia" w:ascii="微软雅黑" w:hAnsi="微软雅黑" w:eastAsia="微软雅黑" w:cs="微软雅黑"/>
                <w:bCs/>
                <w:color w:val="000000"/>
                <w:kern w:val="0"/>
                <w:sz w:val="18"/>
                <w:szCs w:val="18"/>
              </w:rPr>
              <w:t>实质性要求</w:t>
            </w:r>
            <w:r>
              <w:rPr>
                <w:rFonts w:hint="eastAsia" w:ascii="微软雅黑" w:hAnsi="微软雅黑" w:eastAsia="微软雅黑" w:cs="微软雅黑"/>
                <w:color w:val="000000"/>
                <w:kern w:val="0"/>
                <w:sz w:val="18"/>
                <w:szCs w:val="18"/>
              </w:rPr>
              <w:t>和条件作出响应；如确实未作出实质性响应的，作废标处理。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1233"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串标</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与其他投标人相互串通投标，或者与招标人串通投标，证据确凿的；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1233"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投标人</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投标文件中标明的投标人与资格预审的申请人在名称和组织结构上存在实质性差别的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1233"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以他人名义投标，或者以其他方式弄虚作假的；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1233"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以向招标人或着评标委员会成员行贿的手段谋取中标，证据确凿的；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574"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1233"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标书</w:t>
            </w:r>
          </w:p>
        </w:tc>
        <w:tc>
          <w:tcPr>
            <w:tcW w:w="7700" w:type="dxa"/>
            <w:tcBorders>
              <w:top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针对投标文件，未提供招标文件中规定的必须提供的投标清单或者其他必须提供的文件的，由评标小组决定是否作为废标处理。</w:t>
            </w:r>
          </w:p>
        </w:tc>
      </w:tr>
      <w:bookmarkEnd w:id="37"/>
      <w:bookmarkEnd w:id="38"/>
      <w:bookmarkEnd w:id="39"/>
      <w:bookmarkEnd w:id="40"/>
      <w:bookmarkEnd w:id="41"/>
      <w:bookmarkEnd w:id="42"/>
      <w:bookmarkEnd w:id="43"/>
      <w:bookmarkEnd w:id="44"/>
      <w:bookmarkEnd w:id="45"/>
      <w:bookmarkEnd w:id="46"/>
      <w:bookmarkEnd w:id="47"/>
    </w:tbl>
    <w:p>
      <w:pPr>
        <w:ind w:firstLine="420"/>
        <w:rPr>
          <w:rFonts w:hint="eastAsia" w:ascii="微软雅黑" w:hAnsi="微软雅黑" w:eastAsia="微软雅黑" w:cs="微软雅黑"/>
          <w:b/>
          <w:sz w:val="21"/>
          <w:lang w:eastAsia="zh-CN"/>
        </w:rPr>
      </w:pPr>
      <w:r>
        <w:rPr>
          <w:rFonts w:hint="eastAsia" w:ascii="微软雅黑" w:hAnsi="微软雅黑" w:eastAsia="微软雅黑" w:cs="微软雅黑"/>
          <w:b/>
          <w:sz w:val="21"/>
          <w:lang w:eastAsia="zh-CN"/>
        </w:rPr>
        <w:t>17、评标事项</w:t>
      </w:r>
    </w:p>
    <w:p>
      <w:pPr>
        <w:ind w:firstLine="840" w:firstLineChars="400"/>
        <w:rPr>
          <w:rFonts w:hint="eastAsia" w:ascii="微软雅黑" w:hAnsi="微软雅黑" w:eastAsia="微软雅黑" w:cs="微软雅黑"/>
          <w:b/>
          <w:sz w:val="21"/>
          <w:lang w:eastAsia="zh-CN"/>
        </w:rPr>
      </w:pPr>
      <w:r>
        <w:rPr>
          <w:rFonts w:hint="eastAsia" w:ascii="微软雅黑" w:hAnsi="微软雅黑" w:eastAsia="微软雅黑" w:cs="微软雅黑"/>
          <w:sz w:val="21"/>
          <w:lang w:eastAsia="zh-CN"/>
        </w:rPr>
        <w:t>本项目按价优且满足业务交期来评选供应商。</w:t>
      </w:r>
    </w:p>
    <w:p>
      <w:pPr>
        <w:ind w:firstLine="420"/>
        <w:rPr>
          <w:rFonts w:hint="default" w:ascii="微软雅黑" w:hAnsi="微软雅黑" w:eastAsia="微软雅黑" w:cs="微软雅黑"/>
          <w:b/>
          <w:sz w:val="21"/>
          <w:lang w:val="en-US" w:eastAsia="zh-CN"/>
        </w:rPr>
      </w:pPr>
      <w:r>
        <w:rPr>
          <w:rFonts w:hint="eastAsia" w:ascii="微软雅黑" w:hAnsi="微软雅黑" w:eastAsia="微软雅黑" w:cs="微软雅黑"/>
          <w:b/>
          <w:sz w:val="21"/>
          <w:lang w:eastAsia="zh-CN"/>
        </w:rPr>
        <w:t>附件一：</w:t>
      </w:r>
      <w:r>
        <w:rPr>
          <w:rFonts w:hint="eastAsia" w:ascii="微软雅黑" w:hAnsi="微软雅黑" w:eastAsia="微软雅黑" w:cs="微软雅黑"/>
          <w:b/>
          <w:sz w:val="21"/>
          <w:lang w:val="en-US" w:eastAsia="zh-CN"/>
        </w:rPr>
        <w:t>2024年物流服务要求文档</w:t>
      </w:r>
    </w:p>
    <w:p>
      <w:pPr>
        <w:rPr>
          <w:rFonts w:hint="eastAsia" w:ascii="微软雅黑" w:hAnsi="微软雅黑" w:eastAsia="微软雅黑" w:cs="微软雅黑"/>
          <w:b/>
          <w:sz w:val="21"/>
          <w:lang w:eastAsia="zh-CN"/>
        </w:rPr>
      </w:pPr>
      <w:bookmarkStart w:id="48" w:name="_MON_1667821808"/>
      <w:bookmarkEnd w:id="48"/>
      <w:r>
        <w:rPr>
          <w:rFonts w:hint="eastAsia" w:ascii="微软雅黑" w:hAnsi="微软雅黑" w:eastAsia="微软雅黑" w:cs="微软雅黑"/>
          <w:b/>
          <w:sz w:val="21"/>
          <w:lang w:eastAsia="zh-CN"/>
        </w:rPr>
        <w:object>
          <v:shape id="_x0000_i1025" o:spt="75" type="#_x0000_t75" style="height:65.5pt;width:72.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p>
    <w:p>
      <w:pPr>
        <w:ind w:firstLine="420"/>
        <w:rPr>
          <w:rFonts w:hint="default" w:ascii="微软雅黑" w:hAnsi="微软雅黑" w:eastAsia="微软雅黑" w:cs="微软雅黑"/>
          <w:b/>
          <w:sz w:val="21"/>
          <w:lang w:val="en-US" w:eastAsia="zh-CN"/>
        </w:rPr>
      </w:pPr>
      <w:r>
        <w:rPr>
          <w:rFonts w:hint="eastAsia" w:ascii="微软雅黑" w:hAnsi="微软雅黑" w:eastAsia="微软雅黑" w:cs="微软雅黑"/>
          <w:b/>
          <w:sz w:val="21"/>
          <w:lang w:eastAsia="zh-CN"/>
        </w:rPr>
        <w:t>附件</w:t>
      </w:r>
      <w:r>
        <w:rPr>
          <w:rFonts w:hint="eastAsia" w:ascii="微软雅黑" w:hAnsi="微软雅黑" w:eastAsia="微软雅黑" w:cs="微软雅黑"/>
          <w:b/>
          <w:sz w:val="21"/>
          <w:lang w:val="en-US" w:eastAsia="zh-CN"/>
        </w:rPr>
        <w:t>二</w:t>
      </w:r>
      <w:r>
        <w:rPr>
          <w:rFonts w:hint="eastAsia" w:ascii="微软雅黑" w:hAnsi="微软雅黑" w:eastAsia="微软雅黑" w:cs="微软雅黑"/>
          <w:b/>
          <w:sz w:val="21"/>
          <w:lang w:eastAsia="zh-CN"/>
        </w:rPr>
        <w:t>：</w:t>
      </w:r>
      <w:r>
        <w:rPr>
          <w:rFonts w:hint="eastAsia" w:ascii="微软雅黑" w:hAnsi="微软雅黑" w:eastAsia="微软雅黑" w:cs="微软雅黑"/>
          <w:b/>
          <w:sz w:val="21"/>
          <w:lang w:val="en-US" w:eastAsia="zh-CN"/>
        </w:rPr>
        <w:t>2024年物流KPI考核标准</w:t>
      </w:r>
    </w:p>
    <w:p>
      <w:pPr>
        <w:rPr>
          <w:rFonts w:hint="eastAsia" w:ascii="微软雅黑" w:hAnsi="微软雅黑" w:eastAsia="微软雅黑" w:cs="微软雅黑"/>
          <w:b/>
          <w:sz w:val="21"/>
          <w:lang w:eastAsia="zh-CN"/>
        </w:rPr>
      </w:pPr>
      <w:r>
        <w:rPr>
          <w:rFonts w:hint="eastAsia" w:ascii="微软雅黑" w:hAnsi="微软雅黑" w:eastAsia="微软雅黑" w:cs="微软雅黑"/>
          <w:b/>
          <w:sz w:val="21"/>
          <w:lang w:eastAsia="zh-CN"/>
        </w:rPr>
        <w:object>
          <v:shape id="_x0000_i1026" o:spt="75" type="#_x0000_t75" style="height:65.5pt;width:72.5pt;" o:ole="t" filled="f" o:preferrelative="t" stroked="f" coordsize="21600,21600">
            <v:path/>
            <v:fill on="f" focussize="0,0"/>
            <v:stroke on="f"/>
            <v:imagedata r:id="rId9" o:title=""/>
            <o:lock v:ext="edit" aspectratio="t"/>
            <w10:wrap type="none"/>
            <w10:anchorlock/>
          </v:shape>
          <o:OLEObject Type="Embed" ProgID="Excel.Sheet.12" ShapeID="_x0000_i1026" DrawAspect="Icon" ObjectID="_1468075726" r:id="rId8">
            <o:LockedField>false</o:LockedField>
          </o:OLEObject>
        </w:object>
      </w:r>
    </w:p>
    <w:p>
      <w:pPr>
        <w:ind w:firstLine="420"/>
        <w:rPr>
          <w:rFonts w:hint="default" w:ascii="微软雅黑" w:hAnsi="微软雅黑" w:eastAsia="微软雅黑" w:cs="微软雅黑"/>
          <w:b/>
          <w:sz w:val="21"/>
          <w:lang w:val="en-US" w:eastAsia="zh-CN"/>
        </w:rPr>
      </w:pPr>
      <w:r>
        <w:rPr>
          <w:rFonts w:hint="eastAsia" w:ascii="微软雅黑" w:hAnsi="微软雅黑" w:eastAsia="微软雅黑" w:cs="微软雅黑"/>
          <w:b/>
          <w:sz w:val="21"/>
          <w:lang w:eastAsia="zh-CN"/>
        </w:rPr>
        <w:t>附件</w:t>
      </w:r>
      <w:r>
        <w:rPr>
          <w:rFonts w:hint="eastAsia" w:ascii="微软雅黑" w:hAnsi="微软雅黑" w:eastAsia="微软雅黑" w:cs="微软雅黑"/>
          <w:b/>
          <w:sz w:val="21"/>
          <w:lang w:val="en-US" w:eastAsia="zh-CN"/>
        </w:rPr>
        <w:t>三</w:t>
      </w:r>
      <w:r>
        <w:rPr>
          <w:rFonts w:hint="eastAsia" w:ascii="微软雅黑" w:hAnsi="微软雅黑" w:eastAsia="微软雅黑" w:cs="微软雅黑"/>
          <w:b/>
          <w:sz w:val="21"/>
          <w:lang w:eastAsia="zh-CN"/>
        </w:rPr>
        <w:t>：</w:t>
      </w:r>
      <w:r>
        <w:rPr>
          <w:rFonts w:hint="eastAsia" w:ascii="微软雅黑" w:hAnsi="微软雅黑" w:eastAsia="微软雅黑" w:cs="微软雅黑"/>
          <w:b/>
          <w:sz w:val="21"/>
          <w:lang w:val="en-US" w:eastAsia="zh-CN"/>
        </w:rPr>
        <w:t>2024年金山云服务器运输招标项目法人授权委托书</w:t>
      </w:r>
    </w:p>
    <w:p>
      <w:pPr>
        <w:pStyle w:val="4"/>
        <w:jc w:val="both"/>
        <w:rPr>
          <w:rFonts w:hint="eastAsia" w:ascii="微软雅黑" w:hAnsi="微软雅黑" w:eastAsia="微软雅黑" w:cs="微软雅黑"/>
          <w:lang w:eastAsia="zh-CN"/>
        </w:rPr>
      </w:pPr>
      <w:bookmarkStart w:id="49" w:name="_MON_1667649508"/>
      <w:bookmarkEnd w:id="49"/>
      <w:r>
        <w:rPr>
          <w:rFonts w:hint="eastAsia" w:ascii="微软雅黑" w:hAnsi="微软雅黑" w:eastAsia="微软雅黑" w:cs="微软雅黑"/>
          <w:lang w:eastAsia="zh-CN"/>
        </w:rPr>
        <w:object>
          <v:shape id="_x0000_i1027" o:spt="75" type="#_x0000_t75" style="height:65.5pt;width:72.5pt;" o:ole="t" filled="f" o:preferrelative="t" stroked="f" coordsize="21600,21600">
            <v:path/>
            <v:fill on="f" focussize="0,0"/>
            <v:stroke on="f"/>
            <v:imagedata r:id="rId11" o:title=""/>
            <o:lock v:ext="edit" aspectratio="t"/>
            <w10:wrap type="none"/>
            <w10:anchorlock/>
          </v:shape>
          <o:OLEObject Type="Embed" ProgID="Word.Document.12" ShapeID="_x0000_i1027" DrawAspect="Icon" ObjectID="_1468075727" r:id="rId10">
            <o:LockedField>false</o:LockedField>
          </o:OLEObject>
        </w:object>
      </w:r>
    </w:p>
    <w:p>
      <w:pPr>
        <w:ind w:firstLine="420"/>
        <w:rPr>
          <w:rFonts w:hint="eastAsia" w:ascii="微软雅黑" w:hAnsi="微软雅黑" w:eastAsia="微软雅黑" w:cs="微软雅黑"/>
          <w:b/>
          <w:sz w:val="21"/>
          <w:lang w:val="en-US" w:eastAsia="zh-CN"/>
        </w:rPr>
      </w:pPr>
      <w:r>
        <w:rPr>
          <w:rFonts w:hint="eastAsia" w:ascii="微软雅黑" w:hAnsi="微软雅黑" w:eastAsia="微软雅黑" w:cs="微软雅黑"/>
          <w:b/>
          <w:sz w:val="21"/>
          <w:lang w:eastAsia="zh-CN"/>
        </w:rPr>
        <w:t>附件</w:t>
      </w:r>
      <w:r>
        <w:rPr>
          <w:rFonts w:hint="eastAsia" w:ascii="微软雅黑" w:hAnsi="微软雅黑" w:eastAsia="微软雅黑" w:cs="微软雅黑"/>
          <w:b/>
          <w:sz w:val="21"/>
          <w:lang w:val="en-US" w:eastAsia="zh-CN"/>
        </w:rPr>
        <w:t>四</w:t>
      </w:r>
      <w:r>
        <w:rPr>
          <w:rFonts w:hint="eastAsia" w:ascii="微软雅黑" w:hAnsi="微软雅黑" w:eastAsia="微软雅黑" w:cs="微软雅黑"/>
          <w:b/>
          <w:sz w:val="21"/>
          <w:lang w:eastAsia="zh-CN"/>
        </w:rPr>
        <w:t>：</w:t>
      </w:r>
      <w:r>
        <w:rPr>
          <w:rFonts w:hint="eastAsia" w:ascii="微软雅黑" w:hAnsi="微软雅黑" w:eastAsia="微软雅黑" w:cs="微软雅黑"/>
          <w:b/>
          <w:sz w:val="21"/>
          <w:lang w:val="en-US" w:eastAsia="zh-CN"/>
        </w:rPr>
        <w:t>2024年金山云IDC服务器运输招标项目报价单</w:t>
      </w:r>
    </w:p>
    <w:p>
      <w:pPr>
        <w:ind w:firstLine="420"/>
        <w:rPr>
          <w:rFonts w:hint="default" w:ascii="微软雅黑" w:hAnsi="微软雅黑" w:eastAsia="微软雅黑" w:cs="微软雅黑"/>
          <w:b/>
          <w:sz w:val="21"/>
          <w:lang w:val="en-US" w:eastAsia="zh-CN"/>
        </w:rPr>
      </w:pPr>
      <w:r>
        <w:rPr>
          <w:rFonts w:hint="default" w:ascii="微软雅黑" w:hAnsi="微软雅黑" w:eastAsia="微软雅黑" w:cs="微软雅黑"/>
          <w:b/>
          <w:sz w:val="21"/>
          <w:lang w:val="en-US" w:eastAsia="zh-CN"/>
        </w:rPr>
        <w:object>
          <v:shape id="_x0000_i1030" o:spt="75" type="#_x0000_t75" style="height:65.5pt;width:72.5pt;" o:ole="t" filled="f" o:preferrelative="t" stroked="f" coordsize="21600,21600">
            <v:fill on="f" focussize="0,0"/>
            <v:stroke on="f"/>
            <v:imagedata r:id="rId13" o:title=""/>
            <o:lock v:ext="edit" aspectratio="t"/>
            <w10:wrap type="none"/>
            <w10:anchorlock/>
          </v:shape>
          <o:OLEObject Type="Embed" ProgID="Excel.Sheet.12" ShapeID="_x0000_i1030" DrawAspect="Icon" ObjectID="_1468075728" r:id="rId12">
            <o:LockedField>false</o:LockedField>
          </o:OLEObject>
        </w:object>
      </w:r>
    </w:p>
    <w:p>
      <w:pPr>
        <w:ind w:firstLine="420"/>
        <w:rPr>
          <w:rFonts w:hint="eastAsia" w:ascii="微软雅黑" w:hAnsi="微软雅黑" w:eastAsia="微软雅黑" w:cs="微软雅黑"/>
          <w:b/>
          <w:sz w:val="21"/>
          <w:lang w:val="en-US" w:eastAsia="zh-CN"/>
        </w:rPr>
      </w:pPr>
      <w:r>
        <w:rPr>
          <w:rFonts w:hint="eastAsia" w:ascii="微软雅黑" w:hAnsi="微软雅黑" w:eastAsia="微软雅黑" w:cs="微软雅黑"/>
          <w:b/>
          <w:sz w:val="21"/>
          <w:lang w:eastAsia="zh-CN"/>
        </w:rPr>
        <w:t>附件</w:t>
      </w:r>
      <w:r>
        <w:rPr>
          <w:rFonts w:hint="eastAsia" w:ascii="微软雅黑" w:hAnsi="微软雅黑" w:eastAsia="微软雅黑" w:cs="微软雅黑"/>
          <w:b/>
          <w:sz w:val="21"/>
          <w:lang w:val="en-US" w:eastAsia="zh-CN"/>
        </w:rPr>
        <w:t>五</w:t>
      </w:r>
      <w:r>
        <w:rPr>
          <w:rFonts w:hint="eastAsia" w:ascii="微软雅黑" w:hAnsi="微软雅黑" w:eastAsia="微软雅黑" w:cs="微软雅黑"/>
          <w:b/>
          <w:sz w:val="21"/>
          <w:lang w:eastAsia="zh-CN"/>
        </w:rPr>
        <w:t>：</w:t>
      </w:r>
      <w:r>
        <w:rPr>
          <w:rFonts w:hint="eastAsia" w:ascii="微软雅黑" w:hAnsi="微软雅黑" w:eastAsia="微软雅黑" w:cs="微软雅黑"/>
          <w:b/>
          <w:sz w:val="21"/>
          <w:lang w:val="en-US" w:eastAsia="zh-CN"/>
        </w:rPr>
        <w:t>2024年金山云CDN服务器运输招标项目报价单</w:t>
      </w:r>
    </w:p>
    <w:p>
      <w:pPr>
        <w:ind w:firstLine="420"/>
        <w:rPr>
          <w:rFonts w:hint="eastAsia" w:ascii="微软雅黑" w:hAnsi="微软雅黑" w:eastAsia="微软雅黑" w:cs="微软雅黑"/>
          <w:b/>
          <w:sz w:val="21"/>
          <w:lang w:val="en-US" w:eastAsia="zh-CN"/>
        </w:rPr>
      </w:pPr>
      <w:r>
        <w:rPr>
          <w:rFonts w:hint="eastAsia" w:ascii="微软雅黑" w:hAnsi="微软雅黑" w:eastAsia="微软雅黑" w:cs="微软雅黑"/>
          <w:b/>
          <w:sz w:val="21"/>
          <w:lang w:val="en-US" w:eastAsia="zh-CN"/>
        </w:rPr>
        <w:object>
          <v:shape id="_x0000_i1034" o:spt="75" type="#_x0000_t75" style="height:65.5pt;width:72.5pt;" o:ole="t" filled="f" o:preferrelative="t" stroked="f" coordsize="21600,21600">
            <v:fill on="f" focussize="0,0"/>
            <v:stroke on="f"/>
            <v:imagedata r:id="rId15" o:title=""/>
            <o:lock v:ext="edit" aspectratio="t"/>
            <w10:wrap type="none"/>
            <w10:anchorlock/>
          </v:shape>
          <o:OLEObject Type="Embed" ProgID="Excel.Sheet.12" ShapeID="_x0000_i1034" DrawAspect="Icon" ObjectID="_1468075729" r:id="rId14">
            <o:LockedField>false</o:LockedField>
          </o:OLEObject>
        </w:object>
      </w:r>
      <w:bookmarkStart w:id="50" w:name="_GoBack"/>
      <w:bookmarkEnd w:id="50"/>
    </w:p>
    <w:sectPr>
      <w:headerReference r:id="rId3" w:type="default"/>
      <w:footerReference r:id="rId4" w:type="default"/>
      <w:pgSz w:w="11906" w:h="16838"/>
      <w:pgMar w:top="1134" w:right="1134" w:bottom="1134" w:left="1134" w:header="567" w:footer="567"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Style w:val="17"/>
      </w:rPr>
      <w:fldChar w:fldCharType="begin"/>
    </w:r>
    <w:r>
      <w:rPr>
        <w:rStyle w:val="17"/>
      </w:rPr>
      <w:instrText xml:space="preserve"> PAGE </w:instrText>
    </w:r>
    <w:r>
      <w:rPr>
        <w:rStyle w:val="17"/>
      </w:rPr>
      <w:fldChar w:fldCharType="separate"/>
    </w:r>
    <w:r>
      <w:rPr>
        <w:rStyle w:val="17"/>
      </w:rPr>
      <w:t>1</w:t>
    </w:r>
    <w:r>
      <w:rPr>
        <w:rStyle w:val="17"/>
      </w:rPr>
      <w:fldChar w:fldCharType="end"/>
    </w:r>
    <w:r>
      <w:rPr>
        <w:rStyle w:val="17"/>
        <w:rFonts w:hint="eastAsia" w:eastAsia="宋体"/>
        <w:lang w:eastAsia="zh-CN"/>
      </w:rPr>
      <w:t>/</w:t>
    </w:r>
    <w:r>
      <w:rPr>
        <w:rStyle w:val="17"/>
      </w:rPr>
      <w:fldChar w:fldCharType="begin"/>
    </w:r>
    <w:r>
      <w:rPr>
        <w:rStyle w:val="17"/>
      </w:rPr>
      <w:instrText xml:space="preserve"> NUMPAGES </w:instrText>
    </w:r>
    <w:r>
      <w:rPr>
        <w:rStyle w:val="17"/>
      </w:rPr>
      <w:fldChar w:fldCharType="separate"/>
    </w:r>
    <w:r>
      <w:rPr>
        <w:rStyle w:val="17"/>
      </w:rPr>
      <w:t>3</w:t>
    </w:r>
    <w:r>
      <w:rPr>
        <w:rStyle w:val="1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lang w:eastAsia="en-US"/>
      </w:rPr>
      <w:drawing>
        <wp:inline distT="0" distB="0" distL="0" distR="0">
          <wp:extent cx="1200150" cy="390525"/>
          <wp:effectExtent l="0" t="0" r="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015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60B6D"/>
    <w:multiLevelType w:val="singleLevel"/>
    <w:tmpl w:val="E8260B6D"/>
    <w:lvl w:ilvl="0" w:tentative="0">
      <w:start w:val="1"/>
      <w:numFmt w:val="decimal"/>
      <w:suff w:val="nothing"/>
      <w:lvlText w:val="（%1）"/>
      <w:lvlJc w:val="left"/>
    </w:lvl>
  </w:abstractNum>
  <w:abstractNum w:abstractNumId="1">
    <w:nsid w:val="13D51079"/>
    <w:multiLevelType w:val="multilevel"/>
    <w:tmpl w:val="13D51079"/>
    <w:lvl w:ilvl="0" w:tentative="0">
      <w:start w:val="1"/>
      <w:numFmt w:val="decimal"/>
      <w:lvlText w:val="（%1）"/>
      <w:lvlJc w:val="left"/>
      <w:pPr>
        <w:tabs>
          <w:tab w:val="left" w:pos="1140"/>
        </w:tabs>
        <w:ind w:left="1140" w:hanging="720"/>
      </w:pPr>
      <w:rPr>
        <w:rFonts w:cs="Times New Roman"/>
        <w:b w:val="0"/>
      </w:rPr>
    </w:lvl>
    <w:lvl w:ilvl="1" w:tentative="0">
      <w:start w:val="1"/>
      <w:numFmt w:val="decimal"/>
      <w:lvlText w:val="（%2）"/>
      <w:lvlJc w:val="left"/>
      <w:pPr>
        <w:tabs>
          <w:tab w:val="left" w:pos="1872"/>
        </w:tabs>
        <w:ind w:left="1872" w:hanging="1032"/>
      </w:pPr>
      <w:rPr>
        <w:rFonts w:cs="Times New Roman"/>
      </w:rPr>
    </w:lvl>
    <w:lvl w:ilvl="2" w:tentative="0">
      <w:start w:val="6"/>
      <w:numFmt w:val="japaneseCounting"/>
      <w:lvlText w:val="%3"/>
      <w:lvlJc w:val="left"/>
      <w:pPr>
        <w:tabs>
          <w:tab w:val="left" w:pos="0"/>
        </w:tabs>
        <w:ind w:left="1620" w:hanging="360"/>
      </w:pPr>
      <w:rPr>
        <w:rFonts w:cs="Times New Roman"/>
      </w:rPr>
    </w:lvl>
    <w:lvl w:ilvl="3" w:tentative="0">
      <w:start w:val="5"/>
      <w:numFmt w:val="decimal"/>
      <w:lvlText w:val="%4．"/>
      <w:lvlJc w:val="left"/>
      <w:pPr>
        <w:tabs>
          <w:tab w:val="left" w:pos="0"/>
        </w:tabs>
        <w:ind w:left="2400" w:hanging="720"/>
      </w:p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
    <w:nsid w:val="322D1AD8"/>
    <w:multiLevelType w:val="multilevel"/>
    <w:tmpl w:val="322D1AD8"/>
    <w:lvl w:ilvl="0" w:tentative="0">
      <w:start w:val="1"/>
      <w:numFmt w:val="decimal"/>
      <w:pStyle w:val="22"/>
      <w:lvlText w:val="%1."/>
      <w:lvlJc w:val="left"/>
      <w:pPr>
        <w:tabs>
          <w:tab w:val="left" w:pos="567"/>
        </w:tabs>
        <w:ind w:left="567" w:hanging="567"/>
      </w:pPr>
      <w:rPr>
        <w:rFonts w:hint="eastAsia" w:ascii="华文细黑" w:hAnsi="华文细黑" w:eastAsia="华文细黑"/>
        <w:strike w:val="0"/>
        <w:dstrike w:val="0"/>
        <w:sz w:val="21"/>
        <w:szCs w:val="21"/>
        <w:u w:val="none"/>
      </w:rPr>
    </w:lvl>
    <w:lvl w:ilvl="1" w:tentative="0">
      <w:start w:val="1"/>
      <w:numFmt w:val="decimal"/>
      <w:pStyle w:val="23"/>
      <w:isLgl/>
      <w:lvlText w:val="%1.%2"/>
      <w:lvlJc w:val="left"/>
      <w:pPr>
        <w:tabs>
          <w:tab w:val="left" w:pos="567"/>
        </w:tabs>
        <w:ind w:left="567" w:hanging="567"/>
      </w:pPr>
    </w:lvl>
    <w:lvl w:ilvl="2" w:tentative="0">
      <w:start w:val="1"/>
      <w:numFmt w:val="decimal"/>
      <w:isLgl/>
      <w:lvlText w:val="%1.%2.%3"/>
      <w:lvlJc w:val="left"/>
      <w:pPr>
        <w:tabs>
          <w:tab w:val="left" w:pos="1140"/>
        </w:tabs>
        <w:ind w:left="1140" w:hanging="573"/>
      </w:pPr>
    </w:lvl>
    <w:lvl w:ilvl="3" w:tentative="0">
      <w:start w:val="1"/>
      <w:numFmt w:val="decimal"/>
      <w:isLgl/>
      <w:lvlText w:val="%1.%2.%3.%4"/>
      <w:lvlJc w:val="left"/>
      <w:pPr>
        <w:tabs>
          <w:tab w:val="left" w:pos="420"/>
        </w:tabs>
        <w:ind w:left="420" w:hanging="420"/>
      </w:pPr>
    </w:lvl>
    <w:lvl w:ilvl="4" w:tentative="0">
      <w:start w:val="1"/>
      <w:numFmt w:val="decimal"/>
      <w:isLgl/>
      <w:lvlText w:val="%1.%2.%3.%4.%5"/>
      <w:lvlJc w:val="left"/>
      <w:pPr>
        <w:tabs>
          <w:tab w:val="left" w:pos="420"/>
        </w:tabs>
        <w:ind w:left="420" w:hanging="420"/>
      </w:pPr>
    </w:lvl>
    <w:lvl w:ilvl="5" w:tentative="0">
      <w:start w:val="1"/>
      <w:numFmt w:val="decimal"/>
      <w:isLgl/>
      <w:lvlText w:val="%1.%2.%3.%4.%5.%6"/>
      <w:lvlJc w:val="left"/>
      <w:pPr>
        <w:tabs>
          <w:tab w:val="left" w:pos="420"/>
        </w:tabs>
        <w:ind w:left="420" w:hanging="420"/>
      </w:pPr>
    </w:lvl>
    <w:lvl w:ilvl="6" w:tentative="0">
      <w:start w:val="1"/>
      <w:numFmt w:val="decimal"/>
      <w:isLgl/>
      <w:lvlText w:val="%1.%2.%3.%4.%5.%6.%7"/>
      <w:lvlJc w:val="left"/>
      <w:pPr>
        <w:tabs>
          <w:tab w:val="left" w:pos="420"/>
        </w:tabs>
        <w:ind w:left="420" w:hanging="420"/>
      </w:pPr>
    </w:lvl>
    <w:lvl w:ilvl="7" w:tentative="0">
      <w:start w:val="1"/>
      <w:numFmt w:val="decimal"/>
      <w:isLgl/>
      <w:lvlText w:val="%1.%2.%3.%4.%5.%6.%7.%8"/>
      <w:lvlJc w:val="left"/>
      <w:pPr>
        <w:tabs>
          <w:tab w:val="left" w:pos="420"/>
        </w:tabs>
        <w:ind w:left="420" w:hanging="420"/>
      </w:pPr>
    </w:lvl>
    <w:lvl w:ilvl="8" w:tentative="0">
      <w:start w:val="1"/>
      <w:numFmt w:val="decimal"/>
      <w:isLgl/>
      <w:lvlText w:val="%1.%2.%3.%4.%5.%6.%7.%8.%9"/>
      <w:lvlJc w:val="left"/>
      <w:pPr>
        <w:tabs>
          <w:tab w:val="left" w:pos="420"/>
        </w:tabs>
        <w:ind w:left="420" w:hanging="420"/>
      </w:pPr>
    </w:lvl>
  </w:abstractNum>
  <w:abstractNum w:abstractNumId="3">
    <w:nsid w:val="4C0B7DE3"/>
    <w:multiLevelType w:val="multilevel"/>
    <w:tmpl w:val="4C0B7DE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ZWRkNmJjOGYyNGI4OTMyYmNmNmYwODZkMmFmZmEifQ=="/>
  </w:docVars>
  <w:rsids>
    <w:rsidRoot w:val="007C5CF7"/>
    <w:rsid w:val="00013731"/>
    <w:rsid w:val="00043548"/>
    <w:rsid w:val="0005476C"/>
    <w:rsid w:val="00073385"/>
    <w:rsid w:val="00080364"/>
    <w:rsid w:val="00084E53"/>
    <w:rsid w:val="00095D6B"/>
    <w:rsid w:val="000A5801"/>
    <w:rsid w:val="000A64DA"/>
    <w:rsid w:val="000B2B0C"/>
    <w:rsid w:val="000B4FC3"/>
    <w:rsid w:val="000B79D5"/>
    <w:rsid w:val="000D38EA"/>
    <w:rsid w:val="000D4042"/>
    <w:rsid w:val="000D4961"/>
    <w:rsid w:val="000E2E7F"/>
    <w:rsid w:val="00102D2D"/>
    <w:rsid w:val="00132658"/>
    <w:rsid w:val="00147191"/>
    <w:rsid w:val="001631E3"/>
    <w:rsid w:val="00177B3E"/>
    <w:rsid w:val="0018148F"/>
    <w:rsid w:val="001B7017"/>
    <w:rsid w:val="001D6107"/>
    <w:rsid w:val="002457AA"/>
    <w:rsid w:val="002832D6"/>
    <w:rsid w:val="002962E1"/>
    <w:rsid w:val="002A0076"/>
    <w:rsid w:val="002A3744"/>
    <w:rsid w:val="002A4973"/>
    <w:rsid w:val="002B2C6D"/>
    <w:rsid w:val="002B6BA6"/>
    <w:rsid w:val="002C2535"/>
    <w:rsid w:val="002C2CD0"/>
    <w:rsid w:val="002C4CDF"/>
    <w:rsid w:val="00342C53"/>
    <w:rsid w:val="00342E91"/>
    <w:rsid w:val="00346E99"/>
    <w:rsid w:val="00353EC9"/>
    <w:rsid w:val="003A2A45"/>
    <w:rsid w:val="003A5BC3"/>
    <w:rsid w:val="003B1C76"/>
    <w:rsid w:val="003E3498"/>
    <w:rsid w:val="003E7D0C"/>
    <w:rsid w:val="00410F08"/>
    <w:rsid w:val="0049641C"/>
    <w:rsid w:val="004B2B12"/>
    <w:rsid w:val="004C2BB9"/>
    <w:rsid w:val="004F43A5"/>
    <w:rsid w:val="00515277"/>
    <w:rsid w:val="0056729A"/>
    <w:rsid w:val="0058225F"/>
    <w:rsid w:val="005A2B78"/>
    <w:rsid w:val="005E1D52"/>
    <w:rsid w:val="005E375C"/>
    <w:rsid w:val="00600DF0"/>
    <w:rsid w:val="00621E14"/>
    <w:rsid w:val="00643514"/>
    <w:rsid w:val="006544AE"/>
    <w:rsid w:val="00676612"/>
    <w:rsid w:val="00685A12"/>
    <w:rsid w:val="006877C8"/>
    <w:rsid w:val="00692EDD"/>
    <w:rsid w:val="00692FDE"/>
    <w:rsid w:val="00695C18"/>
    <w:rsid w:val="006A033F"/>
    <w:rsid w:val="006C134E"/>
    <w:rsid w:val="006D0EAE"/>
    <w:rsid w:val="006E4AB8"/>
    <w:rsid w:val="006F0CB8"/>
    <w:rsid w:val="00710253"/>
    <w:rsid w:val="007155FA"/>
    <w:rsid w:val="0075450D"/>
    <w:rsid w:val="00783C79"/>
    <w:rsid w:val="007A1CCA"/>
    <w:rsid w:val="007A6210"/>
    <w:rsid w:val="007C4929"/>
    <w:rsid w:val="007C5CF7"/>
    <w:rsid w:val="007C7AB9"/>
    <w:rsid w:val="007D137B"/>
    <w:rsid w:val="007D25A9"/>
    <w:rsid w:val="00833AC7"/>
    <w:rsid w:val="0084100D"/>
    <w:rsid w:val="008B5710"/>
    <w:rsid w:val="008C7E02"/>
    <w:rsid w:val="008E13C4"/>
    <w:rsid w:val="00914741"/>
    <w:rsid w:val="00947711"/>
    <w:rsid w:val="00954616"/>
    <w:rsid w:val="00986ED0"/>
    <w:rsid w:val="009925CA"/>
    <w:rsid w:val="009962E6"/>
    <w:rsid w:val="009979C7"/>
    <w:rsid w:val="009A53A2"/>
    <w:rsid w:val="009B2684"/>
    <w:rsid w:val="009B40C4"/>
    <w:rsid w:val="00A00ECD"/>
    <w:rsid w:val="00A8440C"/>
    <w:rsid w:val="00A844D6"/>
    <w:rsid w:val="00A8568F"/>
    <w:rsid w:val="00AB0425"/>
    <w:rsid w:val="00AB06DE"/>
    <w:rsid w:val="00AB0FC8"/>
    <w:rsid w:val="00AD1900"/>
    <w:rsid w:val="00AD41E3"/>
    <w:rsid w:val="00AE0E12"/>
    <w:rsid w:val="00AE7227"/>
    <w:rsid w:val="00AF3B3D"/>
    <w:rsid w:val="00B0180B"/>
    <w:rsid w:val="00B04FEF"/>
    <w:rsid w:val="00B052BF"/>
    <w:rsid w:val="00B0678E"/>
    <w:rsid w:val="00B21720"/>
    <w:rsid w:val="00B44B0E"/>
    <w:rsid w:val="00B56CB6"/>
    <w:rsid w:val="00B6540D"/>
    <w:rsid w:val="00B755AC"/>
    <w:rsid w:val="00B911C8"/>
    <w:rsid w:val="00BA370F"/>
    <w:rsid w:val="00BC2D1B"/>
    <w:rsid w:val="00C000DA"/>
    <w:rsid w:val="00C22C56"/>
    <w:rsid w:val="00C27AD7"/>
    <w:rsid w:val="00C52F33"/>
    <w:rsid w:val="00C83D59"/>
    <w:rsid w:val="00CA030C"/>
    <w:rsid w:val="00CA1814"/>
    <w:rsid w:val="00CC2E31"/>
    <w:rsid w:val="00CC7622"/>
    <w:rsid w:val="00CD24E5"/>
    <w:rsid w:val="00CE2CDB"/>
    <w:rsid w:val="00CE380A"/>
    <w:rsid w:val="00D102C2"/>
    <w:rsid w:val="00D412D4"/>
    <w:rsid w:val="00DA1E8F"/>
    <w:rsid w:val="00DE1958"/>
    <w:rsid w:val="00DF605A"/>
    <w:rsid w:val="00DF7D79"/>
    <w:rsid w:val="00E04821"/>
    <w:rsid w:val="00E1093B"/>
    <w:rsid w:val="00E12C4F"/>
    <w:rsid w:val="00E36B37"/>
    <w:rsid w:val="00E37F8E"/>
    <w:rsid w:val="00E938A2"/>
    <w:rsid w:val="00E9536F"/>
    <w:rsid w:val="00E96163"/>
    <w:rsid w:val="00EA1C7C"/>
    <w:rsid w:val="00EB46EE"/>
    <w:rsid w:val="00EC3836"/>
    <w:rsid w:val="00EE460A"/>
    <w:rsid w:val="00F06B9A"/>
    <w:rsid w:val="00F13CA8"/>
    <w:rsid w:val="00F814E7"/>
    <w:rsid w:val="00FA090A"/>
    <w:rsid w:val="00FC1AEC"/>
    <w:rsid w:val="00FC49FC"/>
    <w:rsid w:val="0AE0655C"/>
    <w:rsid w:val="0B9B4888"/>
    <w:rsid w:val="10C2298C"/>
    <w:rsid w:val="27AC5CEC"/>
    <w:rsid w:val="3B1953D7"/>
    <w:rsid w:val="47484C91"/>
    <w:rsid w:val="4FB51799"/>
    <w:rsid w:val="50BD74DB"/>
    <w:rsid w:val="5DA00EB0"/>
    <w:rsid w:val="5F90122B"/>
    <w:rsid w:val="66BD43AB"/>
    <w:rsid w:val="66DD0248"/>
    <w:rsid w:val="68FC3C54"/>
    <w:rsid w:val="6EE677E2"/>
    <w:rsid w:val="7ADE1101"/>
    <w:rsid w:val="7BC852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qFormat/>
    <w:uiPriority w:val="9"/>
    <w:pPr>
      <w:keepNext/>
      <w:keepLines/>
      <w:adjustRightInd w:val="0"/>
      <w:spacing w:before="240" w:after="120" w:line="300" w:lineRule="auto"/>
      <w:jc w:val="center"/>
      <w:textAlignment w:val="baseline"/>
      <w:outlineLvl w:val="2"/>
    </w:pPr>
    <w:rPr>
      <w:rFonts w:ascii="宋体" w:hAnsi="宋体" w:eastAsia="宋体"/>
      <w:b/>
      <w:kern w:val="0"/>
      <w:szCs w:val="20"/>
      <w:lang w:eastAsia="zh-CN"/>
    </w:rPr>
  </w:style>
  <w:style w:type="character" w:default="1" w:styleId="16">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pPr>
    <w:rPr>
      <w:rFonts w:ascii="楷体_GB2312" w:eastAsia="楷体_GB2312"/>
      <w:kern w:val="0"/>
      <w:sz w:val="28"/>
      <w:szCs w:val="20"/>
      <w:lang w:eastAsia="zh-CN"/>
    </w:rPr>
  </w:style>
  <w:style w:type="paragraph" w:styleId="6">
    <w:name w:val="Body Text Indent"/>
    <w:basedOn w:val="1"/>
    <w:link w:val="35"/>
    <w:semiHidden/>
    <w:unhideWhenUsed/>
    <w:qFormat/>
    <w:uiPriority w:val="0"/>
    <w:pPr>
      <w:spacing w:after="120"/>
      <w:ind w:left="420" w:leftChars="200"/>
    </w:pPr>
  </w:style>
  <w:style w:type="paragraph" w:styleId="7">
    <w:name w:val="Plain Text"/>
    <w:basedOn w:val="1"/>
    <w:link w:val="32"/>
    <w:qFormat/>
    <w:uiPriority w:val="0"/>
    <w:pPr>
      <w:jc w:val="both"/>
    </w:pPr>
    <w:rPr>
      <w:rFonts w:ascii="宋体" w:hAnsi="Courier New" w:eastAsia="宋体"/>
      <w:sz w:val="21"/>
      <w:szCs w:val="20"/>
      <w:lang w:eastAsia="zh-CN"/>
    </w:rPr>
  </w:style>
  <w:style w:type="paragraph" w:styleId="8">
    <w:name w:val="Body Text Indent 2"/>
    <w:basedOn w:val="1"/>
    <w:qFormat/>
    <w:uiPriority w:val="0"/>
    <w:pPr>
      <w:spacing w:after="120" w:line="480" w:lineRule="auto"/>
      <w:ind w:left="36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qFormat/>
    <w:uiPriority w:val="0"/>
    <w:pPr>
      <w:widowControl/>
      <w:snapToGrid w:val="0"/>
    </w:pPr>
    <w:rPr>
      <w:rFonts w:ascii="Arial" w:hAnsi="Arial" w:eastAsia="宋体"/>
      <w:kern w:val="0"/>
      <w:sz w:val="18"/>
      <w:szCs w:val="18"/>
      <w:lang w:eastAsia="en-US"/>
    </w:rPr>
  </w:style>
  <w:style w:type="paragraph" w:styleId="13">
    <w:name w:val="Body Text 2"/>
    <w:basedOn w:val="1"/>
    <w:qFormat/>
    <w:uiPriority w:val="0"/>
    <w:pPr>
      <w:widowControl/>
    </w:pPr>
    <w:rPr>
      <w:rFonts w:ascii="Arial" w:hAnsi="Arial" w:eastAsia="宋体" w:cs="Arial"/>
      <w:kern w:val="0"/>
      <w:sz w:val="20"/>
      <w:lang w:eastAsia="zh-CN"/>
    </w:rPr>
  </w:style>
  <w:style w:type="paragraph" w:styleId="14">
    <w:name w:val="Normal (Web)"/>
    <w:basedOn w:val="1"/>
    <w:qFormat/>
    <w:uiPriority w:val="99"/>
    <w:pPr>
      <w:spacing w:before="100" w:beforeAutospacing="1" w:after="100" w:afterAutospacing="1"/>
      <w:jc w:val="both"/>
    </w:pPr>
    <w:rPr>
      <w:rFonts w:ascii="宋体" w:hAnsi="宋体" w:eastAsia="??"/>
      <w:szCs w:val="20"/>
      <w:lang w:eastAsia="zh-CN"/>
    </w:rPr>
  </w:style>
  <w:style w:type="character" w:styleId="17">
    <w:name w:val="page number"/>
    <w:basedOn w:val="16"/>
    <w:qFormat/>
    <w:uiPriority w:val="0"/>
  </w:style>
  <w:style w:type="character" w:styleId="18">
    <w:name w:val="FollowedHyperlink"/>
    <w:basedOn w:val="16"/>
    <w:semiHidden/>
    <w:unhideWhenUsed/>
    <w:qFormat/>
    <w:uiPriority w:val="0"/>
    <w:rPr>
      <w:color w:val="954F72"/>
      <w:u w:val="single"/>
    </w:rPr>
  </w:style>
  <w:style w:type="character" w:styleId="19">
    <w:name w:val="Hyperlink"/>
    <w:basedOn w:val="16"/>
    <w:qFormat/>
    <w:uiPriority w:val="0"/>
    <w:rPr>
      <w:color w:val="0000FF"/>
      <w:u w:val="single"/>
    </w:rPr>
  </w:style>
  <w:style w:type="character" w:styleId="20">
    <w:name w:val="footnote reference"/>
    <w:basedOn w:val="16"/>
    <w:semiHidden/>
    <w:qFormat/>
    <w:uiPriority w:val="0"/>
    <w:rPr>
      <w:vertAlign w:val="superscript"/>
    </w:rPr>
  </w:style>
  <w:style w:type="paragraph" w:customStyle="1" w:styleId="21">
    <w:name w:val="列出段落1"/>
    <w:basedOn w:val="1"/>
    <w:qFormat/>
    <w:uiPriority w:val="34"/>
    <w:pPr>
      <w:widowControl/>
      <w:ind w:firstLine="420"/>
      <w:jc w:val="both"/>
    </w:pPr>
    <w:rPr>
      <w:rFonts w:ascii="Calibri" w:hAnsi="Calibri" w:eastAsia="宋体" w:cs="Calibri"/>
      <w:kern w:val="0"/>
      <w:sz w:val="21"/>
      <w:szCs w:val="21"/>
      <w:lang w:eastAsia="zh-CN"/>
    </w:rPr>
  </w:style>
  <w:style w:type="paragraph" w:customStyle="1" w:styleId="22">
    <w:name w:val="合同条款1"/>
    <w:basedOn w:val="1"/>
    <w:qFormat/>
    <w:uiPriority w:val="0"/>
    <w:pPr>
      <w:widowControl/>
      <w:numPr>
        <w:ilvl w:val="0"/>
        <w:numId w:val="1"/>
      </w:numPr>
      <w:spacing w:line="400" w:lineRule="exact"/>
      <w:ind w:left="680" w:hanging="680"/>
      <w:jc w:val="both"/>
    </w:pPr>
    <w:rPr>
      <w:rFonts w:ascii="华文细黑" w:hAnsi="华文细黑" w:eastAsia="华文细黑" w:cs="宋体"/>
      <w:b/>
      <w:bCs/>
      <w:kern w:val="0"/>
      <w:sz w:val="21"/>
      <w:szCs w:val="21"/>
      <w:lang w:eastAsia="zh-CN"/>
    </w:rPr>
  </w:style>
  <w:style w:type="paragraph" w:customStyle="1" w:styleId="23">
    <w:name w:val="合同条款2"/>
    <w:basedOn w:val="1"/>
    <w:qFormat/>
    <w:uiPriority w:val="0"/>
    <w:pPr>
      <w:widowControl/>
      <w:numPr>
        <w:ilvl w:val="1"/>
        <w:numId w:val="1"/>
      </w:numPr>
      <w:spacing w:line="400" w:lineRule="exact"/>
      <w:jc w:val="both"/>
    </w:pPr>
    <w:rPr>
      <w:rFonts w:ascii="华文细黑" w:hAnsi="华文细黑" w:eastAsia="华文细黑" w:cs="宋体"/>
      <w:kern w:val="0"/>
      <w:sz w:val="21"/>
      <w:szCs w:val="21"/>
      <w:lang w:eastAsia="zh-CN"/>
    </w:rPr>
  </w:style>
  <w:style w:type="character" w:customStyle="1" w:styleId="24">
    <w:name w:val="页眉 字符"/>
    <w:basedOn w:val="16"/>
    <w:link w:val="11"/>
    <w:qFormat/>
    <w:uiPriority w:val="99"/>
    <w:rPr>
      <w:rFonts w:eastAsia="PMingLiU"/>
      <w:kern w:val="2"/>
      <w:sz w:val="18"/>
      <w:szCs w:val="18"/>
      <w:lang w:eastAsia="zh-TW"/>
    </w:rPr>
  </w:style>
  <w:style w:type="character" w:customStyle="1" w:styleId="25">
    <w:name w:val="apple-tab-span"/>
    <w:basedOn w:val="16"/>
    <w:qFormat/>
    <w:uiPriority w:val="0"/>
  </w:style>
  <w:style w:type="character" w:customStyle="1" w:styleId="26">
    <w:name w:val="apple-converted-space"/>
    <w:basedOn w:val="16"/>
    <w:qFormat/>
    <w:uiPriority w:val="0"/>
  </w:style>
  <w:style w:type="paragraph" w:styleId="27">
    <w:name w:val="List Paragraph"/>
    <w:basedOn w:val="1"/>
    <w:link w:val="41"/>
    <w:qFormat/>
    <w:uiPriority w:val="0"/>
    <w:pPr>
      <w:ind w:firstLine="420" w:firstLineChars="200"/>
    </w:pPr>
  </w:style>
  <w:style w:type="character" w:customStyle="1" w:styleId="28">
    <w:name w:val="Unresolved Mention"/>
    <w:basedOn w:val="16"/>
    <w:semiHidden/>
    <w:unhideWhenUsed/>
    <w:qFormat/>
    <w:uiPriority w:val="99"/>
    <w:rPr>
      <w:color w:val="605E5C"/>
      <w:shd w:val="clear" w:color="auto" w:fill="E1DFDD"/>
    </w:rPr>
  </w:style>
  <w:style w:type="character" w:customStyle="1" w:styleId="29">
    <w:name w:val="标题 3 字符"/>
    <w:basedOn w:val="16"/>
    <w:semiHidden/>
    <w:qFormat/>
    <w:uiPriority w:val="0"/>
    <w:rPr>
      <w:rFonts w:eastAsia="PMingLiU"/>
      <w:b/>
      <w:bCs/>
      <w:kern w:val="2"/>
      <w:sz w:val="32"/>
      <w:szCs w:val="32"/>
      <w:lang w:eastAsia="zh-TW"/>
    </w:rPr>
  </w:style>
  <w:style w:type="character" w:customStyle="1" w:styleId="30">
    <w:name w:val="标题 3 字符1"/>
    <w:link w:val="4"/>
    <w:qFormat/>
    <w:uiPriority w:val="9"/>
    <w:rPr>
      <w:rFonts w:ascii="宋体" w:hAnsi="宋体"/>
      <w:b/>
      <w:sz w:val="24"/>
    </w:rPr>
  </w:style>
  <w:style w:type="paragraph" w:customStyle="1" w:styleId="31">
    <w:name w:val="默认段落字体 Para Char Char Char1 Char Char Char Char Char Char Char"/>
    <w:basedOn w:val="1"/>
    <w:qFormat/>
    <w:uiPriority w:val="0"/>
    <w:pPr>
      <w:adjustRightInd w:val="0"/>
      <w:spacing w:line="360" w:lineRule="auto"/>
      <w:jc w:val="both"/>
    </w:pPr>
    <w:rPr>
      <w:rFonts w:eastAsia="宋体"/>
      <w:sz w:val="21"/>
      <w:lang w:eastAsia="zh-CN"/>
    </w:rPr>
  </w:style>
  <w:style w:type="character" w:customStyle="1" w:styleId="32">
    <w:name w:val="纯文本 字符1"/>
    <w:link w:val="7"/>
    <w:qFormat/>
    <w:uiPriority w:val="0"/>
    <w:rPr>
      <w:rFonts w:ascii="宋体" w:hAnsi="Courier New"/>
      <w:kern w:val="2"/>
      <w:sz w:val="21"/>
    </w:rPr>
  </w:style>
  <w:style w:type="character" w:customStyle="1" w:styleId="33">
    <w:name w:val="纯文本 字符"/>
    <w:basedOn w:val="16"/>
    <w:semiHidden/>
    <w:qFormat/>
    <w:uiPriority w:val="0"/>
    <w:rPr>
      <w:rFonts w:hAnsi="Courier New" w:cs="Courier New" w:asciiTheme="minorEastAsia" w:eastAsiaTheme="minorEastAsia"/>
      <w:kern w:val="2"/>
      <w:sz w:val="24"/>
      <w:szCs w:val="24"/>
      <w:lang w:eastAsia="zh-TW"/>
    </w:rPr>
  </w:style>
  <w:style w:type="paragraph" w:customStyle="1" w:styleId="34">
    <w:name w:val="表格文字"/>
    <w:basedOn w:val="6"/>
    <w:qFormat/>
    <w:uiPriority w:val="0"/>
    <w:pPr>
      <w:tabs>
        <w:tab w:val="left" w:pos="8640"/>
      </w:tabs>
      <w:spacing w:before="60" w:after="60"/>
      <w:ind w:left="0" w:leftChars="0"/>
      <w:jc w:val="both"/>
    </w:pPr>
    <w:rPr>
      <w:rFonts w:eastAsia="宋体"/>
      <w:szCs w:val="20"/>
      <w:lang w:eastAsia="zh-CN"/>
    </w:rPr>
  </w:style>
  <w:style w:type="character" w:customStyle="1" w:styleId="35">
    <w:name w:val="正文文本缩进 字符"/>
    <w:basedOn w:val="16"/>
    <w:link w:val="6"/>
    <w:semiHidden/>
    <w:qFormat/>
    <w:uiPriority w:val="0"/>
    <w:rPr>
      <w:rFonts w:eastAsia="PMingLiU"/>
      <w:kern w:val="2"/>
      <w:sz w:val="24"/>
      <w:szCs w:val="24"/>
      <w:lang w:eastAsia="zh-TW"/>
    </w:rPr>
  </w:style>
  <w:style w:type="character" w:customStyle="1" w:styleId="36">
    <w:name w:val="标题 3 Char"/>
    <w:qFormat/>
    <w:uiPriority w:val="9"/>
    <w:rPr>
      <w:rFonts w:ascii="宋体" w:hAnsi="宋体"/>
      <w:b/>
      <w:sz w:val="24"/>
    </w:rPr>
  </w:style>
  <w:style w:type="character" w:customStyle="1" w:styleId="37">
    <w:name w:val="纯文本 Char"/>
    <w:qFormat/>
    <w:uiPriority w:val="0"/>
    <w:rPr>
      <w:rFonts w:ascii="宋体" w:hAnsi="Courier New"/>
      <w:kern w:val="2"/>
      <w:sz w:val="21"/>
    </w:rPr>
  </w:style>
  <w:style w:type="paragraph" w:customStyle="1" w:styleId="38">
    <w:name w:val="Char"/>
    <w:basedOn w:val="1"/>
    <w:qFormat/>
    <w:uiPriority w:val="0"/>
    <w:pPr>
      <w:tabs>
        <w:tab w:val="left" w:pos="360"/>
      </w:tabs>
      <w:jc w:val="both"/>
    </w:pPr>
    <w:rPr>
      <w:rFonts w:eastAsia="宋体"/>
      <w:lang w:eastAsia="zh-CN"/>
    </w:rPr>
  </w:style>
  <w:style w:type="character" w:customStyle="1" w:styleId="39">
    <w:name w:val="标题 1 字符"/>
    <w:basedOn w:val="16"/>
    <w:link w:val="2"/>
    <w:qFormat/>
    <w:uiPriority w:val="0"/>
    <w:rPr>
      <w:rFonts w:eastAsia="PMingLiU"/>
      <w:b/>
      <w:bCs/>
      <w:kern w:val="44"/>
      <w:sz w:val="44"/>
      <w:szCs w:val="44"/>
      <w:lang w:eastAsia="zh-TW"/>
    </w:rPr>
  </w:style>
  <w:style w:type="character" w:customStyle="1" w:styleId="40">
    <w:name w:val="标题 2 字符"/>
    <w:basedOn w:val="16"/>
    <w:link w:val="3"/>
    <w:semiHidden/>
    <w:qFormat/>
    <w:uiPriority w:val="0"/>
    <w:rPr>
      <w:rFonts w:asciiTheme="majorHAnsi" w:hAnsiTheme="majorHAnsi" w:eastAsiaTheme="majorEastAsia" w:cstheme="majorBidi"/>
      <w:b/>
      <w:bCs/>
      <w:kern w:val="2"/>
      <w:sz w:val="32"/>
      <w:szCs w:val="32"/>
      <w:lang w:eastAsia="zh-TW"/>
    </w:rPr>
  </w:style>
  <w:style w:type="character" w:customStyle="1" w:styleId="41">
    <w:name w:val="列表段落 字符"/>
    <w:link w:val="27"/>
    <w:qFormat/>
    <w:uiPriority w:val="0"/>
    <w:rPr>
      <w:rFonts w:eastAsia="PMingLiU"/>
      <w:kern w:val="2"/>
      <w:sz w:val="24"/>
      <w:szCs w:val="24"/>
      <w:lang w:eastAsia="zh-TW"/>
    </w:rPr>
  </w:style>
  <w:style w:type="paragraph" w:customStyle="1" w:styleId="42">
    <w:name w:val="msolistparagraph"/>
    <w:basedOn w:val="1"/>
    <w:qFormat/>
    <w:uiPriority w:val="0"/>
    <w:pPr>
      <w:ind w:firstLine="420" w:firstLineChars="200"/>
      <w:jc w:val="both"/>
    </w:pPr>
    <w:rPr>
      <w:rFonts w:eastAsia="宋体"/>
      <w:sz w:val="21"/>
      <w:lang w:eastAsia="zh-CN"/>
    </w:rPr>
  </w:style>
  <w:style w:type="character" w:customStyle="1" w:styleId="43">
    <w:name w:val="emailstyle15"/>
    <w:basedOn w:val="16"/>
    <w:qFormat/>
    <w:uiPriority w:val="0"/>
    <w:rPr>
      <w:rFonts w:hint="eastAsia" w:ascii="等线" w:hAnsi="等线" w:eastAsia="等线" w:cs="Times New Roman"/>
      <w:color w:val="auto"/>
      <w:sz w:val="21"/>
      <w:szCs w:val="22"/>
    </w:rPr>
  </w:style>
  <w:style w:type="character" w:customStyle="1" w:styleId="44">
    <w:name w:val="emailstyle16"/>
    <w:basedOn w:val="16"/>
    <w:qFormat/>
    <w:uiPriority w:val="0"/>
    <w:rPr>
      <w:rFonts w:hint="eastAsia" w:ascii="等线" w:hAnsi="等线" w:eastAsia="等线" w:cs="Times New Roman"/>
      <w:color w:val="auto"/>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6.emf"/><Relationship Id="rId14" Type="http://schemas.openxmlformats.org/officeDocument/2006/relationships/oleObject" Target="embeddings/oleObject5.bin"/><Relationship Id="rId13" Type="http://schemas.openxmlformats.org/officeDocument/2006/relationships/image" Target="media/image5.emf"/><Relationship Id="rId12" Type="http://schemas.openxmlformats.org/officeDocument/2006/relationships/oleObject" Target="embeddings/oleObject4.bin"/><Relationship Id="rId11" Type="http://schemas.openxmlformats.org/officeDocument/2006/relationships/image" Target="media/image4.e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E9709-F7D1-40EC-8649-BE8F5C38A6F5}">
  <ds:schemaRefs/>
</ds:datastoreItem>
</file>

<file path=docProps/app.xml><?xml version="1.0" encoding="utf-8"?>
<Properties xmlns="http://schemas.openxmlformats.org/officeDocument/2006/extended-properties" xmlns:vt="http://schemas.openxmlformats.org/officeDocument/2006/docPropsVTypes">
  <Template>Normal</Template>
  <Company>Qihu360</Company>
  <Pages>9</Pages>
  <Words>3176</Words>
  <Characters>3479</Characters>
  <Lines>31</Lines>
  <Paragraphs>8</Paragraphs>
  <TotalTime>46</TotalTime>
  <ScaleCrop>false</ScaleCrop>
  <LinksUpToDate>false</LinksUpToDate>
  <CharactersWithSpaces>3498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2020-07-07T11:15:00Z</dcterms:created>
  <dc:creator>USER</dc:creator>
  <cp:lastModifiedBy>以墨々</cp:lastModifiedBy>
  <cp:lastPrinted>2010-06-24T06:34:00Z</cp:lastPrinted>
  <dcterms:modified xsi:type="dcterms:W3CDTF">2023-12-27T03:46:14Z</dcterms:modified>
  <dc:title>Re: 2009 MB Driving Thrill (F1) – Agency Briefing</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981BBF293BCD43279A8509B0891CA4BB_12</vt:lpwstr>
  </property>
</Properties>
</file>